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FE470">
      <w:pPr>
        <w:snapToGrid w:val="0"/>
        <w:rPr>
          <w:rFonts w:hint="eastAsia" w:ascii="宋体" w:hAnsi="宋体" w:eastAsia="宋体"/>
          <w:color w:val="FF0000"/>
          <w:sz w:val="128"/>
          <w:szCs w:val="128"/>
        </w:rPr>
      </w:pPr>
      <w:bookmarkStart w:id="2" w:name="_GoBack"/>
      <w:bookmarkEnd w:id="2"/>
    </w:p>
    <w:p w14:paraId="38B60281">
      <w:pPr>
        <w:snapToGrid w:val="0"/>
        <w:jc w:val="center"/>
        <w:rPr>
          <w:rFonts w:hint="eastAsia" w:ascii="方正小标宋简体" w:hAnsi="华文中宋" w:eastAsia="方正小标宋简体"/>
          <w:color w:val="FF0000"/>
          <w:position w:val="-40"/>
          <w:sz w:val="120"/>
          <w:szCs w:val="120"/>
        </w:rPr>
      </w:pPr>
      <w:r>
        <w:rPr>
          <w:rFonts w:hint="eastAsia" w:ascii="方正小标宋简体" w:hAnsi="华文中宋" w:eastAsia="方正小标宋简体"/>
          <w:color w:val="FF0000"/>
          <w:w w:val="66"/>
          <w:position w:val="-40"/>
          <w:sz w:val="120"/>
          <w:szCs w:val="120"/>
        </w:rPr>
        <w:t>新乡医学院三全学院文件</w:t>
      </w:r>
    </w:p>
    <w:p w14:paraId="3506C280">
      <w:pPr>
        <w:adjustRightInd w:val="0"/>
        <w:snapToGrid w:val="0"/>
        <w:jc w:val="center"/>
        <w:rPr>
          <w:rFonts w:ascii="仿宋_GB2312"/>
          <w:szCs w:val="32"/>
        </w:rPr>
      </w:pPr>
    </w:p>
    <w:p w14:paraId="7BD65497">
      <w:pPr>
        <w:adjustRightInd w:val="0"/>
        <w:snapToGrid w:val="0"/>
        <w:spacing w:line="360" w:lineRule="auto"/>
        <w:jc w:val="center"/>
        <w:rPr>
          <w:rFonts w:hint="eastAsia" w:ascii="仿宋_GB2312"/>
          <w:szCs w:val="32"/>
        </w:rPr>
      </w:pPr>
    </w:p>
    <w:p w14:paraId="25B4B48F">
      <w:pPr>
        <w:adjustRightInd w:val="0"/>
        <w:snapToGrid w:val="0"/>
        <w:spacing w:line="360" w:lineRule="auto"/>
        <w:jc w:val="center"/>
        <w:rPr>
          <w:rFonts w:ascii="仿宋_GB2312"/>
          <w:szCs w:val="32"/>
        </w:rPr>
      </w:pPr>
      <w:bookmarkStart w:id="0" w:name="doc_mark"/>
      <w:r>
        <w:rPr>
          <w:rFonts w:hint="eastAsia" w:ascii="仿宋_GB2312"/>
          <w:szCs w:val="32"/>
        </w:rPr>
        <w:t>院发〔2024〕120号</w:t>
      </w:r>
      <w:bookmarkEnd w:id="0"/>
      <w:r>
        <w:rPr>
          <w:rFonts w:ascii="仿宋_GB2312" w:cs="仿宋_GB2312"/>
          <w:szCs w:val="32"/>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364490</wp:posOffset>
                </wp:positionV>
                <wp:extent cx="5715000" cy="1270"/>
                <wp:effectExtent l="0" t="0" r="0" b="0"/>
                <wp:wrapNone/>
                <wp:docPr id="1" name="直接连接符 1"/>
                <wp:cNvGraphicFramePr/>
                <a:graphic xmlns:a="http://schemas.openxmlformats.org/drawingml/2006/main">
                  <a:graphicData uri="http://schemas.microsoft.com/office/word/2010/wordprocessingShape">
                    <wps:wsp>
                      <wps:cNvCnPr/>
                      <wps:spPr bwMode="auto">
                        <a:xfrm>
                          <a:off x="0" y="0"/>
                          <a:ext cx="5715000" cy="1270"/>
                        </a:xfrm>
                        <a:prstGeom prst="line">
                          <a:avLst/>
                        </a:prstGeom>
                        <a:noFill/>
                        <a:ln w="19050">
                          <a:solidFill>
                            <a:srgbClr val="FF0000"/>
                          </a:solidFill>
                        </a:ln>
                      </wps:spPr>
                      <wps:bodyPr rot="0">
                        <a:noAutofit/>
                      </wps:bodyPr>
                    </wps:wsp>
                  </a:graphicData>
                </a:graphic>
              </wp:anchor>
            </w:drawing>
          </mc:Choice>
          <mc:Fallback>
            <w:pict>
              <v:line id="_x0000_s1026" o:spid="_x0000_s1026" o:spt="20" style="position:absolute;left:0pt;margin-left:-1.6pt;margin-top:28.7pt;height:0.1pt;width:450pt;z-index:251659264;mso-width-relative:page;mso-height-relative:page;" filled="f" stroked="t" coordsize="21600,21600" o:gfxdata="UEsDBAoAAAAAAIdO4kAAAAAAAAAAAAAAAAAEAAAAZHJzL1BLAwQUAAAACACHTuJAIsTgLdgAAAAI&#10;AQAADwAAAGRycy9kb3ducmV2LnhtbE2PwU7DMBBE70j8g7VI3FonBdwS4vQQCZUDUtXAAW5uvCQR&#10;8TqK3Sb8PdsTHHdmNPsm386uF2ccQ+dJQ7pMQCDV3nbUaHh/e15sQIRoyJreE2r4wQDb4voqN5n1&#10;Ex3wXMVGcAmFzGhoYxwyKUPdojNh6Qck9r786Ezkc2ykHc3E5a6XqyRR0pmO+ENrBixbrL+rk9Pw&#10;sd/th9eyVP7lczfNjUqrw7rX+vYmTZ5ARJzjXxgu+IwOBTMd/YlsEL2Gxd2Kkxoe1vcg2N88Kp5y&#10;vAgKZJHL/wOKX1BLAwQUAAAACACHTuJAagKtd9kBAACUAwAADgAAAGRycy9lMm9Eb2MueG1srVPN&#10;jtMwEL4j8Q6W7zRppbIQNV2hrcqFn5WAB3Adp7FkeyyP27QvwQsgcYMTR+68zS6PwdhJu6vdyx64&#10;WLHnm2/m+2ayuDxYw/YqoAZX8+mk5Ew5CY1225p/+bx+8YozjMI1woBTNT8q5JfL588Wva/UDDow&#10;jQqMSBxWva95F6OvigJlp6zACXjlKNhCsCLSNWyLJoie2K0pZmX5sughND6AVIj0uhqCfGQMTyGE&#10;ttVSrUDurHJxYA3KiEiSsNMe+TJ327ZKxo9tiyoyU3NSGvNJReh7k85iuRDVNgjfaTm2IJ7SwgNN&#10;VmhHRc9UKxEF2wX9iMpqGQChjRMJthiEZEdIxbR84M2nTniVtZDV6M+m4/+jlR/214HphjaBMycs&#10;Dfz22++brz/+/vlO5+2vn2yaTOo9VoS9ctdhvKGnxE3/HhrKEbsIWf+hDTb5QMrYIdt8PNusDpFJ&#10;epxfTOdlSROQFJvOLvIUClGdcn3A+FaBZemj5ka7ZIKoxP4dRqpO0BMkPTtYa2PyII1jPVG+Ludl&#10;zkAwuknRhMOw3VyZwPaCdmG9pg5Ohe/BiNs4KpH0JoWD8g00R1IbIO/PUPQNSW517ieBB8iYScPK&#10;bY6Llbbh/j2j7n6m5T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ixOAt2AAAAAgBAAAPAAAAAAAA&#10;AAEAIAAAACIAAABkcnMvZG93bnJldi54bWxQSwECFAAUAAAACACHTuJAagKtd9kBAACUAwAADgAA&#10;AAAAAAABACAAAAAnAQAAZHJzL2Uyb0RvYy54bWxQSwUGAAAAAAYABgBZAQAAcgUAAAAA&#10;">
                <v:fill on="f" focussize="0,0"/>
                <v:stroke weight="1.5pt" color="#FF0000" joinstyle="round"/>
                <v:imagedata o:title=""/>
                <o:lock v:ext="edit" aspectratio="f"/>
              </v:line>
            </w:pict>
          </mc:Fallback>
        </mc:AlternateContent>
      </w:r>
    </w:p>
    <w:p w14:paraId="0876B107">
      <w:pPr>
        <w:adjustRightInd w:val="0"/>
        <w:snapToGrid w:val="0"/>
        <w:jc w:val="center"/>
        <w:rPr>
          <w:rFonts w:hint="eastAsia" w:ascii="仿宋_GB2312" w:hAnsi="方正小标宋简体" w:cs="方正小标宋简体"/>
          <w:szCs w:val="32"/>
          <w:lang w:bidi="ar"/>
        </w:rPr>
      </w:pPr>
    </w:p>
    <w:p w14:paraId="73A6AEC6">
      <w:pPr>
        <w:adjustRightInd w:val="0"/>
        <w:snapToGrid w:val="0"/>
        <w:spacing w:line="360" w:lineRule="auto"/>
        <w:jc w:val="center"/>
        <w:rPr>
          <w:rFonts w:hint="eastAsia" w:ascii="仿宋_GB2312" w:hAnsi="方正小标宋简体" w:cs="方正小标宋简体"/>
          <w:szCs w:val="32"/>
          <w:lang w:bidi="ar"/>
        </w:rPr>
      </w:pPr>
    </w:p>
    <w:p w14:paraId="01C11FED">
      <w:pPr>
        <w:adjustRightInd w:val="0"/>
        <w:snapToGrid w:val="0"/>
        <w:jc w:val="center"/>
        <w:rPr>
          <w:rFonts w:ascii="方正小标宋简体" w:hAnsi="仿宋_GB2312" w:eastAsia="方正小标宋简体" w:cs="仿宋_GB2312"/>
          <w:sz w:val="44"/>
          <w:szCs w:val="44"/>
          <w:lang w:bidi="ar"/>
        </w:rPr>
      </w:pPr>
      <w:r>
        <w:rPr>
          <w:rFonts w:hint="eastAsia" w:ascii="方正小标宋简体" w:hAnsi="方正小标宋简体" w:eastAsia="方正小标宋简体" w:cs="方正小标宋简体"/>
          <w:sz w:val="44"/>
          <w:szCs w:val="44"/>
          <w:lang w:bidi="ar"/>
        </w:rPr>
        <w:t>关于印发《</w:t>
      </w:r>
      <w:r>
        <w:rPr>
          <w:rFonts w:hint="eastAsia" w:ascii="方正小标宋简体" w:hAnsi="仿宋_GB2312" w:eastAsia="方正小标宋简体" w:cs="仿宋_GB2312"/>
          <w:sz w:val="44"/>
          <w:szCs w:val="44"/>
          <w:lang w:bidi="ar"/>
        </w:rPr>
        <w:t>新乡医学院三全学院</w:t>
      </w:r>
    </w:p>
    <w:p w14:paraId="02E20AC8">
      <w:pPr>
        <w:adjustRightInd w:val="0"/>
        <w:snapToGrid w:val="0"/>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lang w:bidi="ar"/>
        </w:rPr>
        <w:t>采购管理办法</w:t>
      </w:r>
      <w:r>
        <w:rPr>
          <w:rFonts w:hint="eastAsia" w:ascii="方正小标宋简体" w:hAnsi="方正小标宋简体" w:eastAsia="方正小标宋简体" w:cs="方正小标宋简体"/>
          <w:sz w:val="44"/>
          <w:szCs w:val="44"/>
          <w:lang w:bidi="ar"/>
        </w:rPr>
        <w:t>》的通知</w:t>
      </w:r>
    </w:p>
    <w:p w14:paraId="07BC11DE">
      <w:pPr>
        <w:adjustRightInd w:val="0"/>
        <w:snapToGrid w:val="0"/>
        <w:spacing w:line="597" w:lineRule="exact"/>
        <w:jc w:val="center"/>
        <w:rPr>
          <w:rFonts w:hint="eastAsia" w:ascii="仿宋_GB2312" w:hAnsi="方正小标宋简体" w:cs="方正小标宋简体"/>
          <w:szCs w:val="32"/>
        </w:rPr>
      </w:pPr>
    </w:p>
    <w:p w14:paraId="5E3868B2">
      <w:pPr>
        <w:adjustRightInd w:val="0"/>
        <w:snapToGrid w:val="0"/>
        <w:spacing w:line="597" w:lineRule="exact"/>
        <w:rPr>
          <w:rFonts w:hint="eastAsia" w:ascii="仿宋_GB2312" w:hAnsi="方正小标宋简体" w:cs="方正小标宋简体"/>
          <w:szCs w:val="32"/>
        </w:rPr>
      </w:pPr>
      <w:r>
        <w:rPr>
          <w:rFonts w:hint="eastAsia" w:ascii="仿宋_GB2312" w:hAnsi="方正小标宋简体" w:cs="方正小标宋简体"/>
          <w:szCs w:val="32"/>
          <w:lang w:bidi="ar"/>
        </w:rPr>
        <w:t>各单位：</w:t>
      </w:r>
    </w:p>
    <w:p w14:paraId="7E43CA47">
      <w:pPr>
        <w:adjustRightInd w:val="0"/>
        <w:snapToGrid w:val="0"/>
        <w:spacing w:line="597" w:lineRule="exact"/>
        <w:ind w:firstLine="640" w:firstLineChars="200"/>
        <w:rPr>
          <w:rFonts w:hint="eastAsia" w:ascii="仿宋_GB2312" w:hAnsi="方正小标宋简体" w:cs="方正小标宋简体"/>
          <w:szCs w:val="32"/>
        </w:rPr>
      </w:pPr>
      <w:r>
        <w:rPr>
          <w:rFonts w:hint="eastAsia" w:ascii="仿宋_GB2312" w:hAnsi="方正小标宋简体" w:cs="方正小标宋简体"/>
          <w:szCs w:val="32"/>
          <w:lang w:bidi="ar"/>
        </w:rPr>
        <w:t>现将《新乡医学院三全学院采购管理办法》印发给你们，望遵照执行。</w:t>
      </w:r>
    </w:p>
    <w:p w14:paraId="406131C0">
      <w:pPr>
        <w:adjustRightInd w:val="0"/>
        <w:snapToGrid w:val="0"/>
        <w:spacing w:line="597" w:lineRule="exact"/>
        <w:jc w:val="center"/>
        <w:rPr>
          <w:rFonts w:hint="eastAsia" w:ascii="仿宋_GB2312" w:cs="仿宋_GB2312"/>
        </w:rPr>
      </w:pPr>
    </w:p>
    <w:p w14:paraId="07D63BEE">
      <w:pPr>
        <w:adjustRightInd w:val="0"/>
        <w:snapToGrid w:val="0"/>
        <w:spacing w:line="597" w:lineRule="exact"/>
        <w:jc w:val="center"/>
        <w:rPr>
          <w:rFonts w:hint="eastAsia" w:ascii="仿宋_GB2312" w:cs="仿宋_GB2312"/>
        </w:rPr>
      </w:pPr>
    </w:p>
    <w:p w14:paraId="093BE110">
      <w:pPr>
        <w:adjustRightInd w:val="0"/>
        <w:snapToGrid w:val="0"/>
        <w:spacing w:line="597" w:lineRule="exact"/>
        <w:ind w:right="957"/>
        <w:jc w:val="center"/>
        <w:rPr>
          <w:rFonts w:hint="eastAsia" w:ascii="仿宋_GB2312" w:cs="仿宋_GB2312"/>
        </w:rPr>
      </w:pPr>
      <w:r>
        <w:rPr>
          <w:rFonts w:hint="eastAsia" w:ascii="仿宋_GB2312" w:cs="仿宋_GB2312"/>
          <w:lang w:bidi="ar"/>
        </w:rPr>
        <w:t xml:space="preserve">                             新乡医学院三全学院 </w:t>
      </w:r>
    </w:p>
    <w:p w14:paraId="3AD92D43">
      <w:pPr>
        <w:adjustRightInd w:val="0"/>
        <w:snapToGrid w:val="0"/>
        <w:spacing w:line="597" w:lineRule="exact"/>
        <w:ind w:right="1280" w:rightChars="400"/>
        <w:jc w:val="right"/>
        <w:rPr>
          <w:rFonts w:hint="eastAsia" w:ascii="仿宋_GB2312" w:cs="仿宋_GB2312"/>
        </w:rPr>
      </w:pPr>
      <w:r>
        <w:rPr>
          <w:rFonts w:hint="eastAsia" w:ascii="仿宋_GB2312" w:cs="仿宋_GB2312"/>
          <w:lang w:bidi="ar"/>
        </w:rPr>
        <w:t xml:space="preserve">                      2024年11月11日</w:t>
      </w:r>
    </w:p>
    <w:p w14:paraId="4F47A7C5">
      <w:pPr>
        <w:adjustRightInd w:val="0"/>
        <w:snapToGrid w:val="0"/>
        <w:spacing w:line="360" w:lineRule="auto"/>
        <w:jc w:val="center"/>
        <w:rPr>
          <w:rFonts w:hint="eastAsia" w:ascii="仿宋_GB2312"/>
          <w:szCs w:val="32"/>
        </w:rPr>
      </w:pPr>
    </w:p>
    <w:p w14:paraId="15FF1797">
      <w:pPr>
        <w:snapToGrid w:val="0"/>
        <w:jc w:val="center"/>
        <w:rPr>
          <w:rFonts w:hint="eastAsia" w:ascii="黑体" w:hAnsi="黑体" w:eastAsia="黑体"/>
          <w:color w:val="000000"/>
          <w:kern w:val="0"/>
          <w:sz w:val="13"/>
          <w:szCs w:val="13"/>
        </w:rPr>
      </w:pPr>
      <w:bookmarkStart w:id="1" w:name="Content"/>
      <w:bookmarkEnd w:id="1"/>
      <w:r>
        <w:rPr>
          <w:rFonts w:hint="eastAsia" w:ascii="方正小标宋简体" w:hAnsi="仿宋_GB2312" w:eastAsia="方正小标宋简体" w:cs="仿宋_GB2312"/>
          <w:sz w:val="44"/>
          <w:szCs w:val="44"/>
          <w:lang w:bidi="ar"/>
        </w:rPr>
        <w:t>新乡医学院三全学院采购管理办法</w:t>
      </w:r>
    </w:p>
    <w:p w14:paraId="39DD98EA">
      <w:pPr>
        <w:widowControl/>
        <w:adjustRightInd w:val="0"/>
        <w:snapToGrid w:val="0"/>
        <w:jc w:val="center"/>
        <w:rPr>
          <w:rFonts w:hint="eastAsia" w:ascii="仿宋_GB2312" w:hAnsi="黑体"/>
          <w:color w:val="000000"/>
          <w:kern w:val="0"/>
          <w:szCs w:val="32"/>
        </w:rPr>
      </w:pPr>
    </w:p>
    <w:p w14:paraId="1DE80B07">
      <w:pPr>
        <w:widowControl/>
        <w:adjustRightInd w:val="0"/>
        <w:snapToGrid w:val="0"/>
        <w:spacing w:line="597" w:lineRule="exact"/>
        <w:jc w:val="center"/>
        <w:rPr>
          <w:rFonts w:hint="eastAsia" w:ascii="黑体" w:hAnsi="黑体" w:eastAsia="黑体"/>
          <w:color w:val="000000"/>
          <w:kern w:val="0"/>
          <w:szCs w:val="32"/>
        </w:rPr>
      </w:pPr>
      <w:r>
        <w:rPr>
          <w:rFonts w:hint="eastAsia" w:ascii="黑体" w:hAnsi="黑体" w:eastAsia="黑体"/>
          <w:color w:val="000000"/>
          <w:kern w:val="0"/>
          <w:szCs w:val="32"/>
        </w:rPr>
        <w:t>第一章  总 则</w:t>
      </w:r>
    </w:p>
    <w:p w14:paraId="7B8090CA">
      <w:pPr>
        <w:pStyle w:val="182"/>
        <w:shd w:val="clear" w:color="auto" w:fill="FFFFFF"/>
        <w:adjustRightInd w:val="0"/>
        <w:snapToGrid w:val="0"/>
        <w:spacing w:before="0" w:beforeAutospacing="0" w:after="0" w:afterAutospacing="0" w:line="597" w:lineRule="exact"/>
        <w:ind w:firstLine="640" w:firstLineChars="200"/>
        <w:textAlignment w:val="baseline"/>
        <w:rPr>
          <w:rFonts w:hint="eastAsia" w:ascii="仿宋_GB2312" w:eastAsia="仿宋_GB2312" w:cs="Times New Roman"/>
          <w:b w:val="0"/>
          <w:bCs w:val="0"/>
          <w:color w:val="000000"/>
          <w:kern w:val="2"/>
          <w:sz w:val="32"/>
          <w:szCs w:val="32"/>
        </w:rPr>
      </w:pPr>
      <w:r>
        <w:rPr>
          <w:rFonts w:hint="eastAsia" w:ascii="仿宋_GB2312" w:eastAsia="仿宋_GB2312" w:cs="Times New Roman"/>
          <w:b w:val="0"/>
          <w:bCs w:val="0"/>
          <w:color w:val="000000"/>
          <w:kern w:val="2"/>
          <w:sz w:val="32"/>
          <w:szCs w:val="32"/>
        </w:rPr>
        <w:t xml:space="preserve">第一条  为了规范学校采购活动，加强采购管理，维护学校的合法权益，依据《中华人民共和国招标投标法》《中华人民共和国政府采购法》《政府采购货物和服务招标投标管理办法》等法律法规和学校相关规章制度，结合实际情况，制定本办法。 </w:t>
      </w:r>
    </w:p>
    <w:p w14:paraId="74E7125F">
      <w:pPr>
        <w:adjustRightInd w:val="0"/>
        <w:snapToGrid w:val="0"/>
        <w:spacing w:line="597" w:lineRule="exact"/>
        <w:ind w:firstLine="640" w:firstLineChars="200"/>
        <w:jc w:val="left"/>
        <w:rPr>
          <w:rFonts w:hint="eastAsia" w:ascii="仿宋_GB2312" w:hAnsi="宋体"/>
          <w:color w:val="000000"/>
          <w:szCs w:val="32"/>
        </w:rPr>
      </w:pPr>
      <w:r>
        <w:rPr>
          <w:rFonts w:hint="eastAsia" w:ascii="仿宋_GB2312" w:hAnsi="宋体"/>
          <w:color w:val="000000"/>
          <w:szCs w:val="32"/>
        </w:rPr>
        <w:t>第二条  采购范围</w:t>
      </w:r>
    </w:p>
    <w:p w14:paraId="64D8C76B">
      <w:pPr>
        <w:adjustRightInd w:val="0"/>
        <w:snapToGrid w:val="0"/>
        <w:spacing w:line="597" w:lineRule="exact"/>
        <w:ind w:firstLine="640" w:firstLineChars="200"/>
        <w:jc w:val="left"/>
        <w:rPr>
          <w:rFonts w:hint="eastAsia" w:ascii="仿宋_GB2312" w:hAnsi="黑体"/>
          <w:color w:val="000000"/>
          <w:szCs w:val="32"/>
        </w:rPr>
      </w:pPr>
      <w:r>
        <w:rPr>
          <w:rFonts w:hint="eastAsia" w:ascii="仿宋_GB2312" w:hAnsi="黑体"/>
          <w:color w:val="000000"/>
          <w:szCs w:val="32"/>
        </w:rPr>
        <w:t>（一）以各种方式有偿取得货物、工程、服务的行为，包括购买、租赁、雇用等。</w:t>
      </w:r>
    </w:p>
    <w:p w14:paraId="0843E54C">
      <w:pPr>
        <w:adjustRightInd w:val="0"/>
        <w:snapToGrid w:val="0"/>
        <w:spacing w:line="597" w:lineRule="exact"/>
        <w:ind w:firstLine="640" w:firstLineChars="200"/>
        <w:jc w:val="left"/>
        <w:rPr>
          <w:rFonts w:hint="eastAsia" w:ascii="仿宋_GB2312" w:hAnsi="黑体"/>
          <w:color w:val="000000"/>
          <w:szCs w:val="32"/>
        </w:rPr>
      </w:pPr>
      <w:r>
        <w:rPr>
          <w:rFonts w:hint="eastAsia" w:ascii="仿宋_GB2312" w:hAnsi="黑体"/>
          <w:color w:val="000000"/>
          <w:szCs w:val="32"/>
        </w:rPr>
        <w:t>本办法所称货物，是指各种形态和种类的物品，包括材料、燃料、设备、产品等；</w:t>
      </w:r>
    </w:p>
    <w:p w14:paraId="57E3AD53">
      <w:pPr>
        <w:adjustRightInd w:val="0"/>
        <w:snapToGrid w:val="0"/>
        <w:spacing w:line="597" w:lineRule="exact"/>
        <w:ind w:firstLine="640" w:firstLineChars="200"/>
        <w:jc w:val="left"/>
        <w:rPr>
          <w:rFonts w:hint="eastAsia" w:ascii="仿宋_GB2312" w:hAnsi="黑体"/>
          <w:color w:val="000000"/>
          <w:szCs w:val="32"/>
        </w:rPr>
      </w:pPr>
      <w:r>
        <w:rPr>
          <w:rFonts w:hint="eastAsia" w:ascii="仿宋_GB2312" w:hAnsi="黑体"/>
          <w:color w:val="000000"/>
          <w:szCs w:val="32"/>
        </w:rPr>
        <w:t>本办法所称工程，是指软件定制、建设工程，包括建筑物和构筑物的</w:t>
      </w:r>
      <w:r>
        <w:rPr>
          <w:rFonts w:hint="eastAsia" w:ascii="仿宋_GB2312" w:hAnsi="黑体"/>
          <w:szCs w:val="32"/>
        </w:rPr>
        <w:t>维护、维修或改建、装修</w:t>
      </w:r>
      <w:r>
        <w:rPr>
          <w:rFonts w:hint="eastAsia" w:ascii="仿宋_GB2312" w:hAnsi="黑体"/>
          <w:color w:val="000000"/>
          <w:szCs w:val="32"/>
        </w:rPr>
        <w:t>等；</w:t>
      </w:r>
    </w:p>
    <w:p w14:paraId="54B74E89">
      <w:pPr>
        <w:adjustRightInd w:val="0"/>
        <w:snapToGrid w:val="0"/>
        <w:spacing w:line="597" w:lineRule="exact"/>
        <w:ind w:firstLine="640" w:firstLineChars="200"/>
        <w:jc w:val="left"/>
        <w:rPr>
          <w:rFonts w:hint="eastAsia" w:ascii="仿宋_GB2312" w:hAnsi="黑体"/>
          <w:color w:val="000000"/>
          <w:szCs w:val="32"/>
        </w:rPr>
      </w:pPr>
      <w:r>
        <w:rPr>
          <w:rFonts w:hint="eastAsia" w:ascii="仿宋_GB2312" w:hAnsi="黑体"/>
          <w:color w:val="000000"/>
          <w:szCs w:val="32"/>
        </w:rPr>
        <w:t>本办法所称服务，是指除货物和工程以外的其他采购对象，例如：提供劳务、提供租赁服务等。</w:t>
      </w:r>
    </w:p>
    <w:p w14:paraId="2B320164">
      <w:pPr>
        <w:adjustRightInd w:val="0"/>
        <w:snapToGrid w:val="0"/>
        <w:spacing w:line="597" w:lineRule="exact"/>
        <w:ind w:left="638"/>
        <w:jc w:val="left"/>
        <w:rPr>
          <w:rFonts w:hint="eastAsia" w:ascii="仿宋_GB2312" w:hAnsi="黑体"/>
          <w:color w:val="000000"/>
          <w:szCs w:val="32"/>
        </w:rPr>
      </w:pPr>
      <w:r>
        <w:rPr>
          <w:rFonts w:hint="eastAsia" w:ascii="仿宋_GB2312" w:hAnsi="黑体"/>
          <w:color w:val="000000"/>
          <w:szCs w:val="32"/>
        </w:rPr>
        <w:t>（二）经营实体对外承包类项目。</w:t>
      </w:r>
    </w:p>
    <w:p w14:paraId="0E8CE6EF">
      <w:pPr>
        <w:adjustRightInd w:val="0"/>
        <w:snapToGrid w:val="0"/>
        <w:spacing w:line="597" w:lineRule="exact"/>
        <w:ind w:firstLine="640" w:firstLineChars="200"/>
        <w:jc w:val="left"/>
        <w:rPr>
          <w:rFonts w:hint="eastAsia" w:ascii="仿宋_GB2312" w:hAnsi="黑体"/>
          <w:color w:val="000000"/>
          <w:szCs w:val="32"/>
        </w:rPr>
      </w:pPr>
      <w:r>
        <w:rPr>
          <w:rFonts w:hint="eastAsia" w:ascii="仿宋_GB2312" w:hAnsi="黑体"/>
          <w:color w:val="000000"/>
          <w:szCs w:val="32"/>
        </w:rPr>
        <w:t>第三条  学校采购工作遵循公开透明、公平竞争、公正和诚实守信原则。任何单位和个人不得采用任何方式，阻挠和限制供应商自由进入学校的采购市场。</w:t>
      </w:r>
    </w:p>
    <w:p w14:paraId="562193F4">
      <w:pPr>
        <w:adjustRightInd w:val="0"/>
        <w:snapToGrid w:val="0"/>
        <w:spacing w:line="597" w:lineRule="exact"/>
        <w:ind w:firstLine="640" w:firstLineChars="200"/>
        <w:jc w:val="left"/>
        <w:rPr>
          <w:rFonts w:hint="eastAsia" w:ascii="仿宋_GB2312" w:hAnsi="黑体"/>
          <w:color w:val="000000"/>
          <w:szCs w:val="32"/>
        </w:rPr>
      </w:pPr>
      <w:r>
        <w:rPr>
          <w:rFonts w:hint="eastAsia" w:ascii="仿宋_GB2312" w:hAnsi="黑体"/>
          <w:color w:val="000000"/>
          <w:szCs w:val="32"/>
        </w:rPr>
        <w:t>第四条  学校各项采购工作严格实行回避制度。在采购活动中，采购人员及相关人员与供应商有利益关系的，必须回避。供应商认为采购人员及相关人员与其他供应商有利害关系的，可以申请其回避。</w:t>
      </w:r>
    </w:p>
    <w:p w14:paraId="76509EE8">
      <w:pPr>
        <w:adjustRightInd w:val="0"/>
        <w:snapToGrid w:val="0"/>
        <w:spacing w:line="597" w:lineRule="exact"/>
        <w:jc w:val="center"/>
        <w:rPr>
          <w:rFonts w:hint="eastAsia" w:ascii="黑体" w:hAnsi="宋体" w:eastAsia="黑体"/>
          <w:szCs w:val="32"/>
        </w:rPr>
      </w:pPr>
      <w:r>
        <w:rPr>
          <w:rFonts w:hint="eastAsia" w:ascii="黑体" w:hAnsi="黑体" w:eastAsia="黑体"/>
          <w:color w:val="000000"/>
          <w:kern w:val="0"/>
          <w:szCs w:val="32"/>
        </w:rPr>
        <w:t>第二章  组织机构和职责</w:t>
      </w:r>
    </w:p>
    <w:p w14:paraId="682A8592">
      <w:pPr>
        <w:adjustRightInd w:val="0"/>
        <w:snapToGrid w:val="0"/>
        <w:spacing w:line="597" w:lineRule="exact"/>
        <w:ind w:firstLine="640" w:firstLineChars="200"/>
        <w:jc w:val="left"/>
        <w:rPr>
          <w:rFonts w:hint="eastAsia" w:ascii="仿宋_GB2312" w:hAnsi="黑体"/>
          <w:color w:val="000000"/>
          <w:szCs w:val="32"/>
        </w:rPr>
      </w:pPr>
      <w:r>
        <w:rPr>
          <w:rFonts w:hint="eastAsia" w:ascii="仿宋_GB2312" w:hAnsi="黑体"/>
          <w:color w:val="000000"/>
          <w:szCs w:val="32"/>
        </w:rPr>
        <w:t>第五条  学校成立采购工作领导小组，负责研究决定采购工作的重大事项。采购工作领导小组由院长任组长，分管采购工作院领导任副组长，成员由分管财务、资产、审计工作的院领导和招投标与集中采购部、财务部、纪检监察审计部、资产管理部、基建部、总务部、教务部、学务部等相关部门负责人组成。主要职责有：</w:t>
      </w:r>
    </w:p>
    <w:p w14:paraId="77581110">
      <w:pPr>
        <w:adjustRightInd w:val="0"/>
        <w:snapToGrid w:val="0"/>
        <w:spacing w:line="597" w:lineRule="exact"/>
        <w:ind w:firstLine="640" w:firstLineChars="200"/>
        <w:jc w:val="left"/>
        <w:rPr>
          <w:rFonts w:hint="eastAsia" w:ascii="仿宋_GB2312" w:hAnsi="黑体"/>
          <w:color w:val="000000"/>
          <w:szCs w:val="32"/>
        </w:rPr>
      </w:pPr>
      <w:r>
        <w:rPr>
          <w:rFonts w:hint="eastAsia" w:ascii="仿宋_GB2312" w:hAnsi="黑体"/>
          <w:color w:val="000000"/>
          <w:szCs w:val="32"/>
        </w:rPr>
        <w:t>（一）审定学校“评标专家库”成员。</w:t>
      </w:r>
    </w:p>
    <w:p w14:paraId="027881F8">
      <w:pPr>
        <w:adjustRightInd w:val="0"/>
        <w:snapToGrid w:val="0"/>
        <w:spacing w:line="597" w:lineRule="exact"/>
        <w:ind w:firstLine="640" w:firstLineChars="200"/>
        <w:jc w:val="left"/>
        <w:rPr>
          <w:rFonts w:hint="eastAsia" w:ascii="仿宋_GB2312" w:hAnsi="黑体"/>
          <w:color w:val="000000"/>
          <w:szCs w:val="32"/>
        </w:rPr>
      </w:pPr>
      <w:r>
        <w:rPr>
          <w:rFonts w:hint="eastAsia" w:ascii="仿宋_GB2312" w:hAnsi="黑体"/>
          <w:color w:val="000000"/>
          <w:szCs w:val="32"/>
        </w:rPr>
        <w:t>（二）研究学校重大项目的有关招投标问题。</w:t>
      </w:r>
    </w:p>
    <w:p w14:paraId="42B0DED1">
      <w:pPr>
        <w:adjustRightInd w:val="0"/>
        <w:snapToGrid w:val="0"/>
        <w:spacing w:line="597" w:lineRule="exact"/>
        <w:ind w:firstLine="640" w:firstLineChars="200"/>
        <w:jc w:val="left"/>
        <w:rPr>
          <w:rFonts w:hint="eastAsia" w:ascii="仿宋_GB2312" w:hAnsi="黑体"/>
          <w:color w:val="000000"/>
          <w:szCs w:val="32"/>
        </w:rPr>
      </w:pPr>
      <w:r>
        <w:rPr>
          <w:rFonts w:hint="eastAsia" w:ascii="仿宋_GB2312" w:hAnsi="黑体"/>
          <w:color w:val="000000"/>
          <w:szCs w:val="32"/>
        </w:rPr>
        <w:t xml:space="preserve">（三）研究学校采购工作中的其他重大事项。 </w:t>
      </w:r>
    </w:p>
    <w:p w14:paraId="19471A89">
      <w:pPr>
        <w:adjustRightInd w:val="0"/>
        <w:snapToGrid w:val="0"/>
        <w:spacing w:line="597" w:lineRule="exact"/>
        <w:ind w:firstLine="640" w:firstLineChars="200"/>
        <w:jc w:val="left"/>
        <w:rPr>
          <w:rFonts w:hint="eastAsia" w:ascii="仿宋_GB2312" w:hAnsi="黑体"/>
          <w:color w:val="000000"/>
          <w:szCs w:val="32"/>
        </w:rPr>
      </w:pPr>
      <w:r>
        <w:rPr>
          <w:rFonts w:hint="eastAsia" w:ascii="仿宋_GB2312" w:hAnsi="黑体"/>
          <w:color w:val="000000"/>
          <w:szCs w:val="32"/>
        </w:rPr>
        <w:t xml:space="preserve">第六条  采购工作领导小组下设办公室，办公室设在招投标与集中采购部（以下简称“招标办”），负责学校采购工作的组织、实施。主要职责有： </w:t>
      </w:r>
    </w:p>
    <w:p w14:paraId="5E3C0BC8">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（一）贯彻国家招投标与采购的法律法规和方针政策，负责拟订学校有关采购工作的规章制度</w:t>
      </w:r>
      <w:r>
        <w:rPr>
          <w:rFonts w:hint="eastAsia" w:ascii="仿宋_GB2312" w:hAnsi="宋体"/>
          <w:color w:val="000000"/>
          <w:szCs w:val="32"/>
        </w:rPr>
        <w:t>。</w:t>
      </w:r>
      <w:r>
        <w:rPr>
          <w:rFonts w:hint="eastAsia" w:ascii="仿宋_GB2312" w:hAnsi="宋体"/>
          <w:szCs w:val="32"/>
        </w:rPr>
        <w:t xml:space="preserve"> </w:t>
      </w:r>
    </w:p>
    <w:p w14:paraId="22486515">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（二）负责组织公开招标、邀标、延标、单一来源采购、询价、制定单价、市场直接采购等</w:t>
      </w:r>
      <w:r>
        <w:rPr>
          <w:rFonts w:hint="eastAsia" w:ascii="仿宋_GB2312" w:hAnsi="宋体"/>
          <w:color w:val="000000"/>
          <w:szCs w:val="32"/>
        </w:rPr>
        <w:t>。</w:t>
      </w:r>
      <w:r>
        <w:rPr>
          <w:rFonts w:hint="eastAsia" w:ascii="仿宋_GB2312" w:hAnsi="宋体"/>
          <w:szCs w:val="32"/>
        </w:rPr>
        <w:t xml:space="preserve"> </w:t>
      </w:r>
    </w:p>
    <w:p w14:paraId="4B386A8E">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（三）负责组织申请部门与供应商洽谈合同，负责审核合同中中标单位名称、中标金额、付款方式、售后服务及质保期限。并负责提交至法律顾问进行审核</w:t>
      </w:r>
      <w:r>
        <w:rPr>
          <w:rFonts w:hint="eastAsia" w:ascii="仿宋_GB2312" w:hAnsi="宋体"/>
          <w:color w:val="000000"/>
          <w:szCs w:val="32"/>
        </w:rPr>
        <w:t>。</w:t>
      </w:r>
    </w:p>
    <w:p w14:paraId="6E21EB51">
      <w:pPr>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（四）负责招标采购有关文件资料的制定、整理和归档</w:t>
      </w:r>
      <w:r>
        <w:rPr>
          <w:rFonts w:hint="eastAsia" w:ascii="仿宋_GB2312" w:hAnsi="宋体"/>
          <w:color w:val="000000"/>
          <w:szCs w:val="32"/>
        </w:rPr>
        <w:t>。</w:t>
      </w:r>
    </w:p>
    <w:p w14:paraId="4EB77C07">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 xml:space="preserve">（五）完成采购工作领导小组交办的其他工作。 </w:t>
      </w:r>
    </w:p>
    <w:p w14:paraId="73EB6743">
      <w:pPr>
        <w:autoSpaceDE w:val="0"/>
        <w:adjustRightInd w:val="0"/>
        <w:snapToGrid w:val="0"/>
        <w:spacing w:line="597" w:lineRule="exact"/>
        <w:rPr>
          <w:rFonts w:hint="eastAsia" w:ascii="仿宋_GB2312" w:hAnsi="宋体"/>
          <w:szCs w:val="32"/>
        </w:rPr>
      </w:pPr>
      <w:r>
        <w:rPr>
          <w:rFonts w:hint="eastAsia" w:ascii="仿宋_GB2312" w:hAnsi="宋体"/>
          <w:szCs w:val="32"/>
        </w:rPr>
        <w:t xml:space="preserve">    第七条</w:t>
      </w:r>
      <w:r>
        <w:rPr>
          <w:rFonts w:hint="eastAsia" w:ascii="宋体" w:hAnsi="宋体"/>
          <w:szCs w:val="32"/>
        </w:rPr>
        <w:t xml:space="preserve"> </w:t>
      </w:r>
      <w:r>
        <w:rPr>
          <w:rFonts w:hint="eastAsia" w:ascii="仿宋_GB2312" w:hAnsi="宋体"/>
          <w:szCs w:val="32"/>
        </w:rPr>
        <w:t xml:space="preserve"> 学校依法组建评标工作小组，评标工作小组成员由招标办、纪检监察审计部、财务部、申请部门的相关人员及评标专家组成。除日常办公、教学所用的通用设备外，所聘专家人数不少于一人；一次招标同时涉及两类及以上品种时，每类外聘专家不少于一人；涉及教学的采购项目由教务部派人参加。预算金额超过10万元的，申请部门必须有两人以上参加评标会，其中至少一名部门负责人参加。评标工作小组主要职责：</w:t>
      </w:r>
    </w:p>
    <w:p w14:paraId="4776DF70">
      <w:pPr>
        <w:autoSpaceDE w:val="0"/>
        <w:adjustRightInd w:val="0"/>
        <w:snapToGrid w:val="0"/>
        <w:spacing w:line="597" w:lineRule="exact"/>
        <w:ind w:firstLine="640" w:firstLineChars="200"/>
        <w:rPr>
          <w:rFonts w:hint="eastAsia" w:ascii="仿宋_GB2312" w:hAnsi="宋体"/>
          <w:szCs w:val="32"/>
        </w:rPr>
      </w:pPr>
      <w:r>
        <w:rPr>
          <w:rFonts w:hint="eastAsia" w:ascii="仿宋_GB2312" w:hAnsi="宋体"/>
          <w:szCs w:val="32"/>
        </w:rPr>
        <w:t>（一）遵纪守法，客观、公正、廉洁地履行职责</w:t>
      </w:r>
      <w:r>
        <w:rPr>
          <w:rFonts w:hint="eastAsia" w:ascii="仿宋_GB2312" w:hAnsi="宋体"/>
          <w:color w:val="000000"/>
          <w:szCs w:val="32"/>
        </w:rPr>
        <w:t>。</w:t>
      </w:r>
    </w:p>
    <w:p w14:paraId="5D2E7569">
      <w:pPr>
        <w:autoSpaceDE w:val="0"/>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（二）按照招标程序规定的评标方法和标准进行评标。评标人员对本人的评审意见承担个人责任</w:t>
      </w:r>
      <w:r>
        <w:rPr>
          <w:rFonts w:hint="eastAsia" w:ascii="仿宋_GB2312" w:hAnsi="宋体"/>
          <w:color w:val="000000"/>
          <w:szCs w:val="32"/>
        </w:rPr>
        <w:t>。</w:t>
      </w:r>
    </w:p>
    <w:p w14:paraId="15BD9F49">
      <w:pPr>
        <w:autoSpaceDE w:val="0"/>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（三）对评标过程和结果以及供应商的商业秘密保密</w:t>
      </w:r>
      <w:r>
        <w:rPr>
          <w:rFonts w:hint="eastAsia" w:ascii="仿宋_GB2312" w:hAnsi="宋体"/>
          <w:color w:val="000000"/>
          <w:szCs w:val="32"/>
        </w:rPr>
        <w:t>。</w:t>
      </w:r>
      <w:r>
        <w:rPr>
          <w:rFonts w:hint="eastAsia" w:ascii="仿宋_GB2312" w:hAnsi="宋体"/>
          <w:szCs w:val="32"/>
        </w:rPr>
        <w:t xml:space="preserve"> </w:t>
      </w:r>
    </w:p>
    <w:p w14:paraId="12A0FA72">
      <w:pPr>
        <w:autoSpaceDE w:val="0"/>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（四）对招标情况及相关问题提出的质疑作出答复</w:t>
      </w:r>
      <w:r>
        <w:rPr>
          <w:rFonts w:hint="eastAsia" w:ascii="仿宋_GB2312" w:hAnsi="宋体"/>
          <w:color w:val="000000"/>
          <w:szCs w:val="32"/>
        </w:rPr>
        <w:t>。</w:t>
      </w:r>
      <w:r>
        <w:rPr>
          <w:rFonts w:hint="eastAsia" w:ascii="仿宋_GB2312" w:hAnsi="宋体"/>
          <w:szCs w:val="32"/>
        </w:rPr>
        <w:t xml:space="preserve"> </w:t>
      </w:r>
    </w:p>
    <w:p w14:paraId="6AB46ED3">
      <w:pPr>
        <w:autoSpaceDE w:val="0"/>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（五）纪检监察审计部对评标全过程进行监督，不进行评分推荐。</w:t>
      </w:r>
    </w:p>
    <w:p w14:paraId="506C5494">
      <w:pPr>
        <w:adjustRightInd w:val="0"/>
        <w:snapToGrid w:val="0"/>
        <w:spacing w:line="597" w:lineRule="exact"/>
        <w:jc w:val="left"/>
        <w:rPr>
          <w:rFonts w:hint="eastAsia" w:ascii="仿宋_GB2312" w:hAnsi="宋体"/>
          <w:szCs w:val="32"/>
        </w:rPr>
      </w:pPr>
      <w:r>
        <w:rPr>
          <w:rFonts w:hint="eastAsia" w:ascii="仿宋_GB2312" w:hAnsi="宋体"/>
          <w:szCs w:val="32"/>
        </w:rPr>
        <w:t xml:space="preserve">    第八条</w:t>
      </w:r>
      <w:r>
        <w:rPr>
          <w:rFonts w:hint="eastAsia" w:ascii="宋体" w:hAnsi="宋体"/>
          <w:szCs w:val="32"/>
        </w:rPr>
        <w:t xml:space="preserve"> </w:t>
      </w:r>
      <w:r>
        <w:rPr>
          <w:rFonts w:hint="eastAsia" w:ascii="仿宋_GB2312" w:hAnsi="宋体"/>
          <w:szCs w:val="32"/>
        </w:rPr>
        <w:t xml:space="preserve"> 学校建立由专家学者、技术人员等构成的采购评标专家库。评标专家需具备以下条件：</w:t>
      </w:r>
    </w:p>
    <w:p w14:paraId="2A74E7D3">
      <w:pPr>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（一）相关专业毕业或从事相关工作满五年</w:t>
      </w:r>
      <w:r>
        <w:rPr>
          <w:rFonts w:hint="eastAsia" w:ascii="仿宋_GB2312" w:hAnsi="宋体"/>
          <w:color w:val="000000"/>
          <w:szCs w:val="32"/>
        </w:rPr>
        <w:t>。</w:t>
      </w:r>
    </w:p>
    <w:p w14:paraId="0C547D39">
      <w:pPr>
        <w:adjustRightInd w:val="0"/>
        <w:snapToGrid w:val="0"/>
        <w:spacing w:line="597" w:lineRule="exact"/>
        <w:ind w:firstLine="640" w:firstLineChars="200"/>
        <w:jc w:val="left"/>
        <w:rPr>
          <w:rFonts w:hint="eastAsia" w:ascii="仿宋_GB2312" w:hAnsi="宋体"/>
          <w:color w:val="FF0000"/>
          <w:szCs w:val="32"/>
        </w:rPr>
      </w:pPr>
      <w:r>
        <w:rPr>
          <w:rFonts w:hint="eastAsia" w:ascii="仿宋_GB2312" w:hAnsi="宋体"/>
          <w:szCs w:val="32"/>
        </w:rPr>
        <w:t>（二）在相关工作领域有突出的专业特长并熟悉产品情况。</w:t>
      </w:r>
    </w:p>
    <w:p w14:paraId="480FF250">
      <w:pPr>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（三）熟悉有关招标投标的法律法规。</w:t>
      </w:r>
    </w:p>
    <w:p w14:paraId="013BB5A1">
      <w:pPr>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第九条</w:t>
      </w:r>
      <w:r>
        <w:rPr>
          <w:rFonts w:hint="eastAsia" w:ascii="宋体" w:hAnsi="宋体"/>
          <w:szCs w:val="32"/>
        </w:rPr>
        <w:t xml:space="preserve"> </w:t>
      </w:r>
      <w:r>
        <w:rPr>
          <w:rFonts w:hint="eastAsia" w:ascii="仿宋_GB2312" w:hAnsi="宋体"/>
          <w:szCs w:val="32"/>
        </w:rPr>
        <w:t xml:space="preserve"> 学校各单位为物资申购及使用单位。主要职责：</w:t>
      </w:r>
    </w:p>
    <w:p w14:paraId="66FB190C">
      <w:pPr>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（一）按学校规定组织专家进行可行性论证并提交采购申请</w:t>
      </w:r>
      <w:r>
        <w:rPr>
          <w:rFonts w:hint="eastAsia" w:ascii="仿宋_GB2312" w:hAnsi="宋体"/>
          <w:color w:val="000000"/>
          <w:szCs w:val="32"/>
        </w:rPr>
        <w:t>。</w:t>
      </w:r>
    </w:p>
    <w:p w14:paraId="7BEF676F">
      <w:pPr>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（二）负责提供符合招标文书要求的参数，不能指定单一品牌以及单一品牌的规格参数</w:t>
      </w:r>
      <w:r>
        <w:rPr>
          <w:rFonts w:hint="eastAsia" w:ascii="仿宋_GB2312" w:hAnsi="宋体"/>
          <w:color w:val="000000"/>
          <w:szCs w:val="32"/>
        </w:rPr>
        <w:t>。</w:t>
      </w:r>
    </w:p>
    <w:p w14:paraId="19CD4921">
      <w:pPr>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（三）负责招标技术参数答疑</w:t>
      </w:r>
      <w:r>
        <w:rPr>
          <w:rFonts w:hint="eastAsia" w:ascii="仿宋_GB2312" w:hAnsi="宋体"/>
          <w:color w:val="000000"/>
          <w:szCs w:val="32"/>
        </w:rPr>
        <w:t>。</w:t>
      </w:r>
    </w:p>
    <w:p w14:paraId="4BB276D9">
      <w:pPr>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（四）负责草拟合同，并对设备规格型号及技术参数的实用性、完整性、科学性负责</w:t>
      </w:r>
      <w:r>
        <w:rPr>
          <w:rFonts w:hint="eastAsia" w:ascii="仿宋_GB2312" w:hAnsi="宋体"/>
          <w:color w:val="000000"/>
          <w:szCs w:val="32"/>
        </w:rPr>
        <w:t>。</w:t>
      </w:r>
    </w:p>
    <w:p w14:paraId="4FC789E4">
      <w:pPr>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（五）负责提交验收申请并配合资产管理部、纪检监察审计部等部门对采购项目的验收工作。</w:t>
      </w:r>
    </w:p>
    <w:p w14:paraId="602F3F62">
      <w:pPr>
        <w:adjustRightInd w:val="0"/>
        <w:snapToGrid w:val="0"/>
        <w:spacing w:line="597" w:lineRule="exact"/>
        <w:jc w:val="center"/>
        <w:rPr>
          <w:rFonts w:hint="eastAsia" w:ascii="黑体" w:hAnsi="宋体" w:eastAsia="黑体"/>
          <w:szCs w:val="32"/>
        </w:rPr>
      </w:pPr>
      <w:r>
        <w:rPr>
          <w:rFonts w:hint="eastAsia" w:ascii="黑体" w:hAnsi="黑体" w:eastAsia="黑体"/>
          <w:color w:val="000000"/>
          <w:kern w:val="0"/>
          <w:szCs w:val="32"/>
        </w:rPr>
        <w:t>第三章  采购方式及适用范围</w:t>
      </w:r>
    </w:p>
    <w:p w14:paraId="773FB1EA">
      <w:pPr>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第十条  采购预算3万元以下的为零星采购，采用市场直接采购方式进行。</w:t>
      </w:r>
    </w:p>
    <w:p w14:paraId="33378984">
      <w:pPr>
        <w:adjustRightInd w:val="0"/>
        <w:snapToGrid w:val="0"/>
        <w:spacing w:line="597" w:lineRule="exact"/>
        <w:ind w:firstLine="640" w:firstLineChars="200"/>
        <w:jc w:val="left"/>
        <w:rPr>
          <w:rFonts w:hint="eastAsia" w:ascii="仿宋_GB2312" w:hAnsi="宋体"/>
          <w:b/>
          <w:bCs/>
          <w:szCs w:val="32"/>
        </w:rPr>
      </w:pPr>
      <w:r>
        <w:rPr>
          <w:rFonts w:hint="eastAsia" w:ascii="仿宋_GB2312" w:hAnsi="宋体"/>
          <w:szCs w:val="32"/>
        </w:rPr>
        <w:t>第十一条  采购预算3万元以上的（含3万元）为大额采购，大额采购采用：招标、询价、延标、单一来源采购、邀标、市场考察、制定单价等方式进行。</w:t>
      </w:r>
    </w:p>
    <w:p w14:paraId="30E10F58">
      <w:pPr>
        <w:numPr>
          <w:ilvl w:val="0"/>
          <w:numId w:val="1"/>
        </w:numPr>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招标：适用于所有大额采购和</w:t>
      </w:r>
      <w:r>
        <w:rPr>
          <w:rFonts w:hint="eastAsia" w:ascii="仿宋_GB2312" w:hAnsi="宋体"/>
          <w:color w:val="000000"/>
          <w:szCs w:val="32"/>
        </w:rPr>
        <w:t>经营实体对外承包类项目。</w:t>
      </w:r>
    </w:p>
    <w:p w14:paraId="71ED231E">
      <w:pPr>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（二）询价：适用于采购货物规格、标准统一、品种单一，现货货源充足，市场价格公开透明且采购预算在10万元以内的采购项目</w:t>
      </w:r>
      <w:r>
        <w:rPr>
          <w:rFonts w:hint="eastAsia" w:ascii="仿宋_GB2312" w:hAnsi="宋体"/>
          <w:color w:val="000000"/>
          <w:szCs w:val="32"/>
        </w:rPr>
        <w:t>。</w:t>
      </w:r>
    </w:p>
    <w:p w14:paraId="26C32833">
      <w:pPr>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（三）延标：适用于每年都重复使用、价格相对稳定，且相同物资或服务已进行过招标的采购项目</w:t>
      </w:r>
      <w:r>
        <w:rPr>
          <w:rFonts w:hint="eastAsia" w:ascii="仿宋_GB2312" w:hAnsi="宋体"/>
          <w:color w:val="000000"/>
          <w:szCs w:val="32"/>
        </w:rPr>
        <w:t>。</w:t>
      </w:r>
    </w:p>
    <w:p w14:paraId="1A075950">
      <w:pPr>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（四）单一来源：适用于符合以下任一条件的采购项目：</w:t>
      </w:r>
    </w:p>
    <w:p w14:paraId="2EF51E69">
      <w:pPr>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1.只能从唯一供应商处采购的</w:t>
      </w:r>
      <w:r>
        <w:rPr>
          <w:rFonts w:hint="eastAsia" w:ascii="仿宋_GB2312" w:hAnsi="宋体"/>
          <w:color w:val="000000"/>
          <w:szCs w:val="32"/>
        </w:rPr>
        <w:t>；</w:t>
      </w:r>
    </w:p>
    <w:p w14:paraId="077799E1">
      <w:pPr>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2.发生了不可预见的紧急情况不能从其他供应商处采购的</w:t>
      </w:r>
      <w:r>
        <w:rPr>
          <w:rFonts w:hint="eastAsia" w:ascii="仿宋_GB2312" w:hAnsi="宋体"/>
          <w:color w:val="000000"/>
          <w:szCs w:val="32"/>
        </w:rPr>
        <w:t>；</w:t>
      </w:r>
    </w:p>
    <w:p w14:paraId="7CC3C7FC">
      <w:pPr>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3.必须保证原有采购项目一致性或者服务配套的要求，需要继续从原供应商处添购的。</w:t>
      </w:r>
    </w:p>
    <w:p w14:paraId="5562B9E9">
      <w:pPr>
        <w:pStyle w:val="194"/>
        <w:widowControl w:val="0"/>
        <w:adjustRightInd w:val="0"/>
        <w:snapToGrid w:val="0"/>
        <w:spacing w:before="0" w:beforeAutospacing="0" w:after="0" w:afterAutospacing="0" w:line="597" w:lineRule="exact"/>
        <w:ind w:firstLine="645"/>
        <w:jc w:val="both"/>
        <w:rPr>
          <w:rFonts w:hint="eastAsia" w:ascii="仿宋" w:hAnsi="仿宋" w:eastAsia="仿宋_GB2312" w:cs="仿宋"/>
          <w:sz w:val="32"/>
          <w:szCs w:val="32"/>
        </w:rPr>
      </w:pPr>
      <w:r>
        <w:rPr>
          <w:rFonts w:hint="eastAsia" w:ascii="仿宋_GB2312" w:eastAsia="仿宋_GB2312"/>
          <w:sz w:val="32"/>
          <w:szCs w:val="32"/>
        </w:rPr>
        <w:t>（五）邀标：适用于</w:t>
      </w:r>
      <w:r>
        <w:rPr>
          <w:rFonts w:hint="eastAsia" w:ascii="仿宋" w:hAnsi="仿宋" w:eastAsia="仿宋"/>
          <w:sz w:val="32"/>
          <w:szCs w:val="32"/>
        </w:rPr>
        <w:t>符合下列条件之一的</w:t>
      </w:r>
      <w:r>
        <w:rPr>
          <w:rFonts w:hint="eastAsia" w:ascii="仿宋_GB2312" w:eastAsia="仿宋_GB2312"/>
          <w:sz w:val="32"/>
          <w:szCs w:val="32"/>
        </w:rPr>
        <w:t>采购项目</w:t>
      </w:r>
      <w:r>
        <w:rPr>
          <w:rFonts w:hint="eastAsia" w:ascii="仿宋" w:hAnsi="仿宋" w:eastAsia="仿宋"/>
          <w:sz w:val="32"/>
          <w:szCs w:val="32"/>
        </w:rPr>
        <w:t>：</w:t>
      </w:r>
    </w:p>
    <w:p w14:paraId="2E0DD29B">
      <w:pPr>
        <w:pStyle w:val="194"/>
        <w:widowControl w:val="0"/>
        <w:adjustRightInd w:val="0"/>
        <w:snapToGrid w:val="0"/>
        <w:spacing w:before="0" w:beforeAutospacing="0" w:after="0" w:afterAutospacing="0" w:line="597" w:lineRule="exact"/>
        <w:ind w:firstLine="645"/>
        <w:jc w:val="both"/>
        <w:rPr>
          <w:rFonts w:hint="eastAsia" w:ascii="仿宋" w:hAnsi="仿宋" w:eastAsia="仿宋"/>
          <w:color w:val="000000"/>
          <w:sz w:val="32"/>
          <w:szCs w:val="32"/>
        </w:rPr>
      </w:pPr>
      <w:r>
        <w:rPr>
          <w:rFonts w:hint="eastAsia" w:ascii="仿宋" w:hAnsi="仿宋" w:eastAsia="仿宋"/>
          <w:color w:val="000000"/>
          <w:sz w:val="32"/>
          <w:szCs w:val="32"/>
        </w:rPr>
        <w:t>1</w:t>
      </w:r>
      <w:r>
        <w:rPr>
          <w:rFonts w:ascii="仿宋" w:hAnsi="仿宋" w:eastAsia="仿宋"/>
          <w:color w:val="000000"/>
          <w:sz w:val="32"/>
          <w:szCs w:val="32"/>
        </w:rPr>
        <w:t>.</w:t>
      </w:r>
      <w:r>
        <w:rPr>
          <w:rFonts w:hint="eastAsia" w:ascii="仿宋" w:hAnsi="仿宋" w:eastAsia="仿宋"/>
          <w:color w:val="000000"/>
          <w:sz w:val="32"/>
          <w:szCs w:val="32"/>
        </w:rPr>
        <w:t>招标后没有供应商投标或没有合格供应商投标，或重新招标未能成立的</w:t>
      </w:r>
      <w:r>
        <w:rPr>
          <w:rFonts w:hint="eastAsia" w:ascii="仿宋_GB2312" w:eastAsia="仿宋_GB2312"/>
          <w:color w:val="000000"/>
          <w:sz w:val="32"/>
          <w:szCs w:val="32"/>
        </w:rPr>
        <w:t>；</w:t>
      </w:r>
    </w:p>
    <w:p w14:paraId="547EFAA9">
      <w:pPr>
        <w:pStyle w:val="194"/>
        <w:widowControl w:val="0"/>
        <w:adjustRightInd w:val="0"/>
        <w:snapToGrid w:val="0"/>
        <w:spacing w:before="0" w:beforeAutospacing="0" w:after="0" w:afterAutospacing="0" w:line="597" w:lineRule="exact"/>
        <w:ind w:firstLine="645"/>
        <w:jc w:val="both"/>
        <w:rPr>
          <w:rFonts w:hint="eastAsia" w:ascii="仿宋" w:hAnsi="仿宋" w:eastAsia="仿宋"/>
          <w:color w:val="000000"/>
          <w:sz w:val="32"/>
          <w:szCs w:val="32"/>
        </w:rPr>
      </w:pPr>
      <w:r>
        <w:rPr>
          <w:rFonts w:hint="eastAsia" w:ascii="仿宋" w:hAnsi="仿宋" w:eastAsia="仿宋"/>
          <w:color w:val="000000"/>
          <w:sz w:val="32"/>
          <w:szCs w:val="32"/>
        </w:rPr>
        <w:t>2.技术复杂或性质特殊，不能确定详细规格或具体要求的</w:t>
      </w:r>
      <w:r>
        <w:rPr>
          <w:rFonts w:hint="eastAsia" w:ascii="仿宋_GB2312" w:eastAsia="仿宋_GB2312"/>
          <w:color w:val="000000"/>
          <w:sz w:val="32"/>
          <w:szCs w:val="32"/>
        </w:rPr>
        <w:t>；</w:t>
      </w:r>
    </w:p>
    <w:p w14:paraId="0E697069">
      <w:pPr>
        <w:pStyle w:val="194"/>
        <w:widowControl w:val="0"/>
        <w:adjustRightInd w:val="0"/>
        <w:snapToGrid w:val="0"/>
        <w:spacing w:before="0" w:beforeAutospacing="0" w:after="0" w:afterAutospacing="0" w:line="597" w:lineRule="exact"/>
        <w:ind w:firstLine="645"/>
        <w:jc w:val="both"/>
        <w:rPr>
          <w:rFonts w:hint="eastAsia" w:ascii="仿宋" w:hAnsi="仿宋" w:eastAsia="仿宋"/>
          <w:color w:val="000000"/>
          <w:sz w:val="32"/>
          <w:szCs w:val="32"/>
        </w:rPr>
      </w:pPr>
      <w:r>
        <w:rPr>
          <w:rFonts w:hint="eastAsia" w:ascii="仿宋" w:hAnsi="仿宋" w:eastAsia="仿宋"/>
          <w:color w:val="000000"/>
          <w:sz w:val="32"/>
          <w:szCs w:val="32"/>
        </w:rPr>
        <w:t>3.采用公开招标所需时间不能满足用户紧急需要的</w:t>
      </w:r>
      <w:r>
        <w:rPr>
          <w:rFonts w:hint="eastAsia" w:ascii="仿宋_GB2312" w:eastAsia="仿宋_GB2312"/>
          <w:color w:val="000000"/>
          <w:sz w:val="32"/>
          <w:szCs w:val="32"/>
        </w:rPr>
        <w:t>；</w:t>
      </w:r>
    </w:p>
    <w:p w14:paraId="43EA54E7">
      <w:pPr>
        <w:pStyle w:val="194"/>
        <w:widowControl w:val="0"/>
        <w:adjustRightInd w:val="0"/>
        <w:snapToGrid w:val="0"/>
        <w:spacing w:before="0" w:beforeAutospacing="0" w:after="0" w:afterAutospacing="0" w:line="597" w:lineRule="exact"/>
        <w:ind w:firstLine="645"/>
        <w:jc w:val="both"/>
        <w:rPr>
          <w:rFonts w:hint="eastAsia" w:ascii="微软雅黑" w:hAnsi="微软雅黑" w:eastAsia="微软雅黑"/>
          <w:color w:val="000000"/>
          <w:sz w:val="32"/>
          <w:szCs w:val="32"/>
        </w:rPr>
      </w:pPr>
      <w:r>
        <w:rPr>
          <w:rFonts w:hint="eastAsia" w:ascii="仿宋" w:hAnsi="仿宋" w:eastAsia="仿宋"/>
          <w:color w:val="000000"/>
          <w:sz w:val="32"/>
          <w:szCs w:val="32"/>
        </w:rPr>
        <w:t>4.在评标期间，出现符合条件的供应商或者对招标文件作出实质性响应的供应商不足三家情形的。</w:t>
      </w:r>
    </w:p>
    <w:p w14:paraId="6546EBE7">
      <w:pPr>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（六）市场考察：适用于价格透明的物资或特种设备等采购项目</w:t>
      </w:r>
      <w:r>
        <w:rPr>
          <w:rFonts w:hint="eastAsia" w:ascii="仿宋_GB2312" w:hAnsi="宋体"/>
          <w:color w:val="000000"/>
          <w:szCs w:val="32"/>
        </w:rPr>
        <w:t>。</w:t>
      </w:r>
      <w:r>
        <w:rPr>
          <w:rFonts w:hint="eastAsia" w:ascii="仿宋_GB2312" w:hAnsi="宋体"/>
          <w:szCs w:val="32"/>
        </w:rPr>
        <w:t xml:space="preserve"> </w:t>
      </w:r>
    </w:p>
    <w:p w14:paraId="012BCCA4">
      <w:pPr>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（七）制定单价：适用于竣工前工程量无法确定的基础设施维护、维修或改建、简易装修类项目</w:t>
      </w:r>
      <w:r>
        <w:rPr>
          <w:rFonts w:hint="eastAsia" w:ascii="仿宋_GB2312" w:hAnsi="宋体"/>
          <w:color w:val="000000"/>
          <w:szCs w:val="32"/>
        </w:rPr>
        <w:t>。</w:t>
      </w:r>
    </w:p>
    <w:p w14:paraId="22229145">
      <w:pPr>
        <w:adjustRightInd w:val="0"/>
        <w:snapToGrid w:val="0"/>
        <w:spacing w:line="597" w:lineRule="exact"/>
        <w:jc w:val="center"/>
        <w:rPr>
          <w:rFonts w:hint="eastAsia" w:ascii="黑体" w:hAnsi="黑体" w:eastAsia="黑体"/>
          <w:color w:val="000000"/>
          <w:kern w:val="0"/>
          <w:szCs w:val="32"/>
        </w:rPr>
      </w:pPr>
      <w:r>
        <w:rPr>
          <w:rFonts w:hint="eastAsia" w:ascii="黑体" w:hAnsi="黑体" w:eastAsia="黑体"/>
          <w:color w:val="000000"/>
          <w:kern w:val="0"/>
          <w:szCs w:val="32"/>
        </w:rPr>
        <w:t>第四章  采购程序</w:t>
      </w:r>
    </w:p>
    <w:p w14:paraId="4AD87228">
      <w:pPr>
        <w:adjustRightInd w:val="0"/>
        <w:snapToGrid w:val="0"/>
        <w:spacing w:line="597" w:lineRule="exact"/>
        <w:ind w:firstLine="640" w:firstLineChars="200"/>
        <w:rPr>
          <w:rFonts w:hint="eastAsia" w:ascii="仿宋_GB2312" w:hAnsi="宋体"/>
          <w:b/>
          <w:bCs/>
          <w:szCs w:val="32"/>
        </w:rPr>
      </w:pPr>
      <w:r>
        <w:rPr>
          <w:rFonts w:hint="eastAsia" w:ascii="仿宋_GB2312" w:hAnsi="宋体"/>
          <w:szCs w:val="32"/>
        </w:rPr>
        <w:t>第十二条  采购项目均由使用单位发起申请，经单位负责人、财务部、分管院领</w:t>
      </w:r>
      <w:r>
        <w:rPr>
          <w:rFonts w:hint="eastAsia" w:ascii="仿宋_GB2312" w:hAnsi="宋体"/>
          <w:color w:val="000000"/>
          <w:szCs w:val="32"/>
        </w:rPr>
        <w:t>导、分管财务副院长、常务副院</w:t>
      </w:r>
      <w:r>
        <w:rPr>
          <w:rFonts w:hint="eastAsia" w:ascii="仿宋_GB2312" w:hAnsi="宋体"/>
          <w:szCs w:val="32"/>
        </w:rPr>
        <w:t>长、院长审批同意后方可进行。大额采购和</w:t>
      </w:r>
      <w:r>
        <w:rPr>
          <w:rFonts w:hint="eastAsia" w:ascii="仿宋_GB2312" w:hAnsi="宋体"/>
          <w:color w:val="000000"/>
          <w:szCs w:val="32"/>
        </w:rPr>
        <w:t>经营实体对外承包项目</w:t>
      </w:r>
      <w:r>
        <w:rPr>
          <w:rFonts w:hint="eastAsia" w:ascii="仿宋_GB2312" w:hAnsi="宋体"/>
          <w:szCs w:val="32"/>
        </w:rPr>
        <w:t>经院务会审议通过后方可进行。</w:t>
      </w:r>
    </w:p>
    <w:p w14:paraId="7792FC1B">
      <w:pPr>
        <w:adjustRightInd w:val="0"/>
        <w:snapToGrid w:val="0"/>
        <w:spacing w:line="597" w:lineRule="exact"/>
        <w:ind w:firstLine="624" w:firstLineChars="195"/>
        <w:jc w:val="left"/>
        <w:rPr>
          <w:rFonts w:hint="eastAsia" w:ascii="仿宋_GB2312" w:hAnsi="宋体"/>
          <w:szCs w:val="32"/>
        </w:rPr>
      </w:pPr>
      <w:r>
        <w:rPr>
          <w:rFonts w:hint="eastAsia" w:ascii="仿宋_GB2312" w:hAnsi="宋体"/>
          <w:szCs w:val="32"/>
        </w:rPr>
        <w:t xml:space="preserve">第十三条  市场直接采购程序  </w:t>
      </w:r>
    </w:p>
    <w:p w14:paraId="1D0A7A9D">
      <w:pPr>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（一）市场直接采购由采购人采用市场比价方式确定最终供应商和成交价格,必要时要求供应商提供样品，发出采购订单，在3-5个工作日内完成</w:t>
      </w:r>
      <w:r>
        <w:rPr>
          <w:rFonts w:hint="eastAsia" w:ascii="仿宋_GB2312" w:hAnsi="宋体"/>
          <w:color w:val="000000"/>
          <w:szCs w:val="32"/>
        </w:rPr>
        <w:t>。</w:t>
      </w:r>
    </w:p>
    <w:p w14:paraId="5DEC5F16">
      <w:pPr>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（二）市场直接采购按照《新乡医学院三全学院物资采购审计办法》进行审计。</w:t>
      </w:r>
    </w:p>
    <w:p w14:paraId="075A533B">
      <w:pPr>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第十四条  招标程序</w:t>
      </w:r>
    </w:p>
    <w:p w14:paraId="0A6BBDE9">
      <w:pPr>
        <w:adjustRightInd w:val="0"/>
        <w:snapToGrid w:val="0"/>
        <w:spacing w:line="597" w:lineRule="exact"/>
        <w:ind w:firstLine="640" w:firstLineChars="200"/>
        <w:jc w:val="left"/>
        <w:rPr>
          <w:rFonts w:hint="eastAsia" w:ascii="仿宋_GB2312" w:hAnsi="宋体" w:cs="宋体"/>
          <w:kern w:val="0"/>
          <w:szCs w:val="32"/>
        </w:rPr>
      </w:pPr>
      <w:r>
        <w:rPr>
          <w:rFonts w:hint="eastAsia" w:ascii="仿宋_GB2312" w:hAnsi="宋体" w:cs="宋体"/>
          <w:kern w:val="0"/>
          <w:szCs w:val="32"/>
        </w:rPr>
        <w:t>（一）编制招标文件</w:t>
      </w:r>
    </w:p>
    <w:p w14:paraId="2C80AAF3">
      <w:pPr>
        <w:adjustRightInd w:val="0"/>
        <w:snapToGrid w:val="0"/>
        <w:spacing w:line="597" w:lineRule="exact"/>
        <w:ind w:firstLine="640" w:firstLineChars="200"/>
        <w:jc w:val="left"/>
        <w:rPr>
          <w:rFonts w:hint="eastAsia" w:ascii="仿宋_GB2312" w:hAnsi="宋体"/>
          <w:color w:val="000000"/>
          <w:szCs w:val="32"/>
        </w:rPr>
      </w:pPr>
      <w:r>
        <w:rPr>
          <w:rFonts w:hint="eastAsia" w:ascii="仿宋_GB2312" w:hAnsi="宋体"/>
          <w:color w:val="000000"/>
          <w:szCs w:val="32"/>
        </w:rPr>
        <w:t>根据招标项目的特点和需求由招标办负责编制招标文件。招标文件包括招标项目的技术要求、投标资格审查标准、投标报价要求和评标标准以及拟签订合同的主要条款。</w:t>
      </w:r>
    </w:p>
    <w:p w14:paraId="7933A2F7">
      <w:pPr>
        <w:adjustRightInd w:val="0"/>
        <w:snapToGrid w:val="0"/>
        <w:spacing w:line="597" w:lineRule="exact"/>
        <w:ind w:firstLine="640" w:firstLineChars="200"/>
        <w:jc w:val="left"/>
        <w:rPr>
          <w:rFonts w:hint="eastAsia" w:ascii="仿宋_GB2312" w:hAnsi="宋体" w:cs="宋体"/>
          <w:kern w:val="0"/>
          <w:szCs w:val="32"/>
        </w:rPr>
      </w:pPr>
      <w:r>
        <w:rPr>
          <w:rFonts w:hint="eastAsia" w:ascii="仿宋_GB2312" w:hAnsi="宋体" w:cs="宋体"/>
          <w:kern w:val="0"/>
          <w:szCs w:val="32"/>
        </w:rPr>
        <w:t>（二）发布公告</w:t>
      </w:r>
    </w:p>
    <w:p w14:paraId="4CFE7D25">
      <w:pPr>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经学校官网对外发布招标公告，公告时间不低于5日。</w:t>
      </w:r>
    </w:p>
    <w:p w14:paraId="7A964027">
      <w:pPr>
        <w:adjustRightInd w:val="0"/>
        <w:snapToGrid w:val="0"/>
        <w:spacing w:line="597" w:lineRule="exact"/>
        <w:ind w:firstLine="640" w:firstLineChars="200"/>
        <w:jc w:val="left"/>
        <w:rPr>
          <w:rFonts w:hint="eastAsia" w:ascii="仿宋_GB2312" w:hAnsi="宋体" w:cs="宋体"/>
          <w:kern w:val="0"/>
          <w:szCs w:val="32"/>
        </w:rPr>
      </w:pPr>
      <w:r>
        <w:rPr>
          <w:rFonts w:hint="eastAsia" w:ascii="仿宋_GB2312" w:hAnsi="宋体" w:cs="宋体"/>
          <w:kern w:val="0"/>
          <w:szCs w:val="32"/>
        </w:rPr>
        <w:t>（三）投标</w:t>
      </w:r>
    </w:p>
    <w:p w14:paraId="32365C2E">
      <w:pPr>
        <w:adjustRightInd w:val="0"/>
        <w:snapToGrid w:val="0"/>
        <w:spacing w:line="597" w:lineRule="exact"/>
        <w:ind w:firstLine="640" w:firstLineChars="200"/>
        <w:jc w:val="left"/>
        <w:rPr>
          <w:rFonts w:hint="eastAsia" w:ascii="仿宋_GB2312" w:hAnsi="宋体"/>
          <w:color w:val="000000"/>
          <w:szCs w:val="32"/>
        </w:rPr>
      </w:pPr>
      <w:r>
        <w:rPr>
          <w:rFonts w:hint="eastAsia" w:ascii="仿宋_GB2312" w:hAnsi="宋体"/>
          <w:color w:val="000000"/>
          <w:szCs w:val="32"/>
        </w:rPr>
        <w:t>投标人按照招标文件的要求编制投标文件，并在规定日期将投标文件送达。</w:t>
      </w:r>
    </w:p>
    <w:p w14:paraId="72DB8495">
      <w:pPr>
        <w:adjustRightInd w:val="0"/>
        <w:snapToGrid w:val="0"/>
        <w:spacing w:line="597" w:lineRule="exact"/>
        <w:ind w:firstLine="640" w:firstLineChars="200"/>
        <w:jc w:val="left"/>
        <w:rPr>
          <w:rFonts w:hint="eastAsia" w:ascii="仿宋_GB2312" w:hAnsi="宋体" w:cs="宋体"/>
          <w:kern w:val="0"/>
          <w:szCs w:val="32"/>
        </w:rPr>
      </w:pPr>
      <w:r>
        <w:rPr>
          <w:rFonts w:hint="eastAsia" w:ascii="仿宋_GB2312" w:hAnsi="宋体" w:cs="宋体"/>
          <w:kern w:val="0"/>
          <w:szCs w:val="32"/>
        </w:rPr>
        <w:t>（四）开标</w:t>
      </w:r>
    </w:p>
    <w:p w14:paraId="431FCFC8">
      <w:pPr>
        <w:adjustRightInd w:val="0"/>
        <w:snapToGrid w:val="0"/>
        <w:spacing w:line="597" w:lineRule="exact"/>
        <w:ind w:firstLine="640" w:firstLineChars="200"/>
        <w:jc w:val="left"/>
        <w:rPr>
          <w:rFonts w:hint="eastAsia" w:ascii="仿宋_GB2312" w:hAnsi="宋体"/>
          <w:szCs w:val="32"/>
        </w:rPr>
      </w:pPr>
      <w:r>
        <w:rPr>
          <w:rFonts w:hint="eastAsia" w:ascii="仿宋_GB2312" w:hAnsi="宋体"/>
          <w:color w:val="000000"/>
          <w:szCs w:val="32"/>
        </w:rPr>
        <w:t>1.开标会由招标办组织，</w:t>
      </w:r>
      <w:r>
        <w:rPr>
          <w:rFonts w:hint="eastAsia" w:ascii="仿宋_GB2312" w:hAnsi="宋体"/>
          <w:szCs w:val="32"/>
        </w:rPr>
        <w:t>所有已报名并符合要求的投标人参加</w:t>
      </w:r>
      <w:r>
        <w:rPr>
          <w:rFonts w:hint="eastAsia" w:ascii="仿宋_GB2312" w:hAnsi="宋体"/>
          <w:color w:val="000000"/>
          <w:szCs w:val="32"/>
        </w:rPr>
        <w:t>；</w:t>
      </w:r>
    </w:p>
    <w:p w14:paraId="3B2A89F0">
      <w:pPr>
        <w:adjustRightInd w:val="0"/>
        <w:snapToGrid w:val="0"/>
        <w:spacing w:line="597" w:lineRule="exact"/>
        <w:ind w:firstLine="640" w:firstLineChars="200"/>
        <w:jc w:val="left"/>
        <w:rPr>
          <w:rFonts w:hint="eastAsia" w:ascii="仿宋_GB2312" w:hAnsi="宋体"/>
          <w:color w:val="000000"/>
          <w:szCs w:val="32"/>
        </w:rPr>
      </w:pPr>
      <w:r>
        <w:rPr>
          <w:rFonts w:hint="eastAsia" w:ascii="仿宋_GB2312" w:hAnsi="宋体"/>
          <w:color w:val="000000"/>
          <w:szCs w:val="32"/>
        </w:rPr>
        <w:t>2.组织所有投标人和评标小组成员签到；</w:t>
      </w:r>
    </w:p>
    <w:p w14:paraId="52A57729">
      <w:pPr>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 xml:space="preserve">3.开标时，由招标办工作人员宣读招标纪律并当众拆封投标文件。 </w:t>
      </w:r>
    </w:p>
    <w:p w14:paraId="3A83E572">
      <w:pPr>
        <w:adjustRightInd w:val="0"/>
        <w:snapToGrid w:val="0"/>
        <w:spacing w:line="597" w:lineRule="exact"/>
        <w:ind w:firstLine="640" w:firstLineChars="200"/>
        <w:jc w:val="left"/>
        <w:rPr>
          <w:rFonts w:hint="eastAsia" w:ascii="仿宋_GB2312" w:hAnsi="宋体" w:cs="宋体"/>
          <w:kern w:val="0"/>
          <w:szCs w:val="32"/>
        </w:rPr>
      </w:pPr>
      <w:r>
        <w:rPr>
          <w:rFonts w:hint="eastAsia" w:ascii="仿宋_GB2312" w:hAnsi="宋体" w:cs="宋体"/>
          <w:kern w:val="0"/>
          <w:szCs w:val="32"/>
        </w:rPr>
        <w:t>（五）评标</w:t>
      </w:r>
    </w:p>
    <w:p w14:paraId="5A0F5095">
      <w:pPr>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1.评标职责</w:t>
      </w:r>
    </w:p>
    <w:p w14:paraId="281797AE">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（1）按招标文件规定的评标程序、标准和方法对投标文件进行评审和比较</w:t>
      </w:r>
      <w:r>
        <w:rPr>
          <w:rFonts w:hint="eastAsia" w:ascii="仿宋_GB2312" w:hAnsi="宋体"/>
          <w:color w:val="000000"/>
          <w:szCs w:val="32"/>
        </w:rPr>
        <w:t>；</w:t>
      </w:r>
      <w:r>
        <w:rPr>
          <w:rFonts w:hint="eastAsia" w:ascii="仿宋_GB2312" w:hAnsi="宋体"/>
          <w:szCs w:val="32"/>
        </w:rPr>
        <w:t xml:space="preserve"> </w:t>
      </w:r>
    </w:p>
    <w:p w14:paraId="0CB515CD">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（2）对文件中含义不明确的内容，要求投标人做出澄清或者说明。澄清或者说明必须符合原投标文件的范围或者实质性内容</w:t>
      </w:r>
      <w:r>
        <w:rPr>
          <w:rFonts w:hint="eastAsia" w:ascii="仿宋_GB2312" w:hAnsi="宋体"/>
          <w:color w:val="000000"/>
          <w:szCs w:val="32"/>
        </w:rPr>
        <w:t>；</w:t>
      </w:r>
      <w:r>
        <w:rPr>
          <w:rFonts w:hint="eastAsia" w:ascii="仿宋_GB2312" w:hAnsi="宋体"/>
          <w:szCs w:val="32"/>
        </w:rPr>
        <w:t xml:space="preserve"> </w:t>
      </w:r>
    </w:p>
    <w:p w14:paraId="517E953F">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（3）对报价明显低于其他投标人的,应当要求投标人具体说明并提供相关证明材料。投标人不能合理说明或者不能提供相关证明材料的，由评标小组认定为以低于成本价竞标，作废标处理</w:t>
      </w:r>
      <w:r>
        <w:rPr>
          <w:rFonts w:hint="eastAsia" w:ascii="仿宋_GB2312" w:hAnsi="宋体"/>
          <w:color w:val="000000"/>
          <w:szCs w:val="32"/>
        </w:rPr>
        <w:t>；</w:t>
      </w:r>
    </w:p>
    <w:p w14:paraId="629D7136">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 xml:space="preserve">（4）对实质上符合招标文件要求，但在个别地方存在遗漏或者提供了不完整的技术信息和数据等细微偏差的投标文件，评标小组应当要求该投标人在评标结束前予以补正。 </w:t>
      </w:r>
    </w:p>
    <w:p w14:paraId="659EB302">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2.评标原则</w:t>
      </w:r>
    </w:p>
    <w:p w14:paraId="4E10127E">
      <w:pPr>
        <w:adjustRightInd w:val="0"/>
        <w:snapToGrid w:val="0"/>
        <w:spacing w:line="597" w:lineRule="exact"/>
        <w:ind w:firstLine="480" w:firstLineChars="150"/>
        <w:rPr>
          <w:rFonts w:hint="eastAsia" w:ascii="仿宋_GB2312"/>
          <w:szCs w:val="32"/>
        </w:rPr>
      </w:pPr>
      <w:r>
        <w:rPr>
          <w:rFonts w:hint="eastAsia" w:ascii="仿宋_GB2312" w:hAnsi="宋体"/>
          <w:szCs w:val="32"/>
        </w:rPr>
        <w:t>（1）最低价评标法，即在全部满足招标文件实质性要求前提下，以价格为主要因素确定中标侯选供应商。最低价评标法适用于标准参数统一的商品和服务项目</w:t>
      </w:r>
      <w:r>
        <w:rPr>
          <w:rFonts w:hint="eastAsia" w:ascii="仿宋_GB2312" w:hAnsi="宋体"/>
          <w:color w:val="000000"/>
          <w:szCs w:val="32"/>
        </w:rPr>
        <w:t>；</w:t>
      </w:r>
      <w:r>
        <w:rPr>
          <w:rFonts w:hint="eastAsia" w:ascii="仿宋_GB2312"/>
          <w:szCs w:val="32"/>
        </w:rPr>
        <w:t xml:space="preserve"> </w:t>
      </w:r>
    </w:p>
    <w:p w14:paraId="4CEF591C">
      <w:pPr>
        <w:adjustRightInd w:val="0"/>
        <w:snapToGrid w:val="0"/>
        <w:spacing w:line="597" w:lineRule="exact"/>
        <w:ind w:firstLine="480" w:firstLineChars="150"/>
        <w:rPr>
          <w:rFonts w:hint="eastAsia" w:ascii="仿宋_GB2312" w:hAnsi="宋体"/>
          <w:szCs w:val="32"/>
        </w:rPr>
      </w:pPr>
      <w:r>
        <w:rPr>
          <w:rFonts w:hint="eastAsia" w:ascii="仿宋_GB2312" w:hAnsi="宋体"/>
          <w:szCs w:val="32"/>
        </w:rPr>
        <w:t xml:space="preserve">（2）综合评标法，在最大限度地满足招标文件实质性要求前提下，按照招标文件中规定的各项因素进行综合评审后，以评标总得分最高的投标人作为中标候选供应商。 </w:t>
      </w:r>
    </w:p>
    <w:p w14:paraId="101F6BD2">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采用综合评标法的，货物项目的价格分值占总分值的比重为30-60%；服务项目的价格分值占总分值的比重为10-30%。评审后按得分由高到低顺序排列，得分相同的依次按价格、技术指标、类似业绩、质保服务、施工工期等因素进行排序，推荐候选供应商。综合评标法适用于工程、技术服务及工艺或</w:t>
      </w:r>
      <w:r>
        <w:rPr>
          <w:rFonts w:hint="eastAsia" w:ascii="仿宋_GB2312" w:hAnsi="宋体"/>
          <w:szCs w:val="32"/>
        </w:rPr>
        <w:fldChar w:fldCharType="begin"/>
      </w:r>
      <w:r>
        <w:rPr>
          <w:rFonts w:hint="eastAsia" w:ascii="仿宋_GB2312" w:hAnsi="宋体"/>
          <w:szCs w:val="32"/>
        </w:rPr>
        <w:instrText xml:space="preserve"> HYPERLINK "http://www.so.com/s?q=%E6%8A%80%E6%9C%AF%E6%96%B9%E6%A1%88&amp;ie=utf-8&amp;src=wenda_link" </w:instrText>
      </w:r>
      <w:r>
        <w:rPr>
          <w:rFonts w:hint="eastAsia" w:ascii="仿宋_GB2312" w:hAnsi="宋体"/>
          <w:szCs w:val="32"/>
        </w:rPr>
        <w:fldChar w:fldCharType="separate"/>
      </w:r>
      <w:r>
        <w:rPr>
          <w:rFonts w:hint="eastAsia" w:ascii="仿宋_GB2312" w:hAnsi="宋体"/>
          <w:szCs w:val="32"/>
        </w:rPr>
        <w:t>技术方案</w:t>
      </w:r>
      <w:r>
        <w:rPr>
          <w:rFonts w:hint="eastAsia" w:ascii="仿宋_GB2312" w:hAnsi="宋体"/>
          <w:szCs w:val="32"/>
        </w:rPr>
        <w:fldChar w:fldCharType="end"/>
      </w:r>
      <w:r>
        <w:rPr>
          <w:rFonts w:hint="eastAsia" w:ascii="仿宋_GB2312" w:hAnsi="宋体"/>
          <w:szCs w:val="32"/>
        </w:rPr>
        <w:t>复杂的大型或成套设备招标项目</w:t>
      </w:r>
      <w:r>
        <w:rPr>
          <w:rFonts w:hint="eastAsia" w:ascii="仿宋_GB2312" w:hAnsi="宋体"/>
          <w:color w:val="000000"/>
          <w:szCs w:val="32"/>
        </w:rPr>
        <w:t>；</w:t>
      </w:r>
    </w:p>
    <w:p w14:paraId="549E7CCA">
      <w:pPr>
        <w:numPr>
          <w:ilvl w:val="0"/>
          <w:numId w:val="2"/>
        </w:num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最高价评标法，即在全部满足招标文件实质性要求前提下，以价格为主要因素确定中标侯选承包商。最高价评标法适用于经营实体对外承包类项目。</w:t>
      </w:r>
    </w:p>
    <w:p w14:paraId="12128B08">
      <w:pPr>
        <w:adjustRightInd w:val="0"/>
        <w:snapToGrid w:val="0"/>
        <w:spacing w:line="597" w:lineRule="exact"/>
        <w:ind w:firstLine="640" w:firstLineChars="200"/>
        <w:jc w:val="left"/>
        <w:rPr>
          <w:rFonts w:hint="eastAsia" w:ascii="仿宋_GB2312" w:hAnsi="宋体" w:cs="宋体"/>
          <w:kern w:val="0"/>
          <w:szCs w:val="32"/>
        </w:rPr>
      </w:pPr>
      <w:r>
        <w:rPr>
          <w:rFonts w:hint="eastAsia" w:ascii="仿宋_GB2312" w:hAnsi="宋体" w:cs="宋体"/>
          <w:kern w:val="0"/>
          <w:szCs w:val="32"/>
        </w:rPr>
        <w:t>（六）定标</w:t>
      </w:r>
    </w:p>
    <w:p w14:paraId="448C2D6D">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 xml:space="preserve">评标小组完成评标后，提出书面评标报告，按评标结果推荐一至二名中标候选人，并标明排列顺序。招标办根据招标文件确定的中标条件及评标委员会的推荐排序，确定中标候选人，原则上排名第一的中标候选人为中标人。 </w:t>
      </w:r>
    </w:p>
    <w:p w14:paraId="44DED52A">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第十五条  询价程序</w:t>
      </w:r>
    </w:p>
    <w:p w14:paraId="167C2CF4">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采用专用邮箱报价方式进行：</w:t>
      </w:r>
    </w:p>
    <w:p w14:paraId="7BEB1ED6">
      <w:pPr>
        <w:numPr>
          <w:ilvl w:val="0"/>
          <w:numId w:val="3"/>
        </w:num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招标办根据项目内容编制询价文件、发布通知、要求供应商在规定时间内将报价文件发送至招标专用邮箱</w:t>
      </w:r>
      <w:r>
        <w:rPr>
          <w:rFonts w:hint="eastAsia" w:ascii="仿宋_GB2312" w:hAnsi="宋体"/>
          <w:color w:val="000000"/>
          <w:szCs w:val="32"/>
        </w:rPr>
        <w:t>。</w:t>
      </w:r>
      <w:r>
        <w:rPr>
          <w:rFonts w:hint="eastAsia" w:ascii="仿宋_GB2312" w:hAnsi="宋体"/>
          <w:szCs w:val="32"/>
        </w:rPr>
        <w:t xml:space="preserve">      </w:t>
      </w:r>
    </w:p>
    <w:p w14:paraId="43D478BC">
      <w:pPr>
        <w:numPr>
          <w:ilvl w:val="0"/>
          <w:numId w:val="3"/>
        </w:num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 xml:space="preserve"> 招标办与纪检监察审计部共同开启专用邮箱，审核报价商资质，统计报价情况</w:t>
      </w:r>
      <w:r>
        <w:rPr>
          <w:rFonts w:hint="eastAsia" w:ascii="仿宋_GB2312" w:hAnsi="宋体"/>
          <w:color w:val="000000"/>
          <w:szCs w:val="32"/>
        </w:rPr>
        <w:t>。</w:t>
      </w:r>
    </w:p>
    <w:p w14:paraId="759E8568">
      <w:pPr>
        <w:numPr>
          <w:ilvl w:val="0"/>
          <w:numId w:val="3"/>
        </w:num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根据审核后的报价文件组织评标，对报价文件有争议的评标现场进行电话沟通答疑，根据评标情况推荐中标商家。</w:t>
      </w:r>
    </w:p>
    <w:p w14:paraId="0D6700FD">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第十六条  延标程序</w:t>
      </w:r>
    </w:p>
    <w:p w14:paraId="7F78045D">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（一）同类项目3年内进行过招标的，招标办和申请部门共同确定后由招标办报分管院领导审批同意后实施</w:t>
      </w:r>
      <w:r>
        <w:rPr>
          <w:rFonts w:hint="eastAsia" w:ascii="仿宋_GB2312" w:hAnsi="宋体"/>
          <w:color w:val="000000"/>
          <w:szCs w:val="32"/>
        </w:rPr>
        <w:t>。</w:t>
      </w:r>
    </w:p>
    <w:p w14:paraId="02D64970">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（二）延标项目由招标办组织谈判小组与供应商进行谈判</w:t>
      </w:r>
      <w:r>
        <w:rPr>
          <w:rFonts w:hint="eastAsia" w:ascii="仿宋_GB2312" w:hAnsi="宋体"/>
          <w:color w:val="000000"/>
          <w:szCs w:val="32"/>
        </w:rPr>
        <w:t>。</w:t>
      </w:r>
      <w:r>
        <w:rPr>
          <w:rFonts w:hint="eastAsia" w:ascii="仿宋_GB2312" w:hAnsi="宋体"/>
          <w:szCs w:val="32"/>
        </w:rPr>
        <w:t>所涉及物资或服务不得高于以往合作定价。</w:t>
      </w:r>
    </w:p>
    <w:p w14:paraId="6B7764EB">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（三）同一项目延标不得超过3年。</w:t>
      </w:r>
    </w:p>
    <w:p w14:paraId="6DEA4DF9">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第十七条  单一来源程序</w:t>
      </w:r>
    </w:p>
    <w:p w14:paraId="44AB5422">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（一）所有单一来源采购项目，必须由申请部门报院务会审议通过方可进行</w:t>
      </w:r>
      <w:r>
        <w:rPr>
          <w:rFonts w:hint="eastAsia" w:ascii="仿宋_GB2312" w:hAnsi="宋体"/>
          <w:color w:val="000000"/>
          <w:szCs w:val="32"/>
        </w:rPr>
        <w:t>。</w:t>
      </w:r>
    </w:p>
    <w:p w14:paraId="3EE7292B">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（二）招标办组织评标小组与供应商进行谈判，达成一致意见，确定合作。项目成交价格不高于市场</w:t>
      </w:r>
      <w:r>
        <w:rPr>
          <w:rFonts w:hint="eastAsia" w:ascii="仿宋_GB2312" w:hAnsi="宋体"/>
          <w:szCs w:val="32"/>
        </w:rPr>
        <w:fldChar w:fldCharType="begin"/>
      </w:r>
      <w:r>
        <w:rPr>
          <w:rFonts w:hint="eastAsia" w:ascii="仿宋_GB2312" w:hAnsi="宋体"/>
          <w:szCs w:val="32"/>
        </w:rPr>
        <w:instrText xml:space="preserve"> HYPERLINK "http://baike.baidu.com/view/230028.htm" </w:instrText>
      </w:r>
      <w:r>
        <w:rPr>
          <w:rFonts w:hint="eastAsia" w:ascii="仿宋_GB2312" w:hAnsi="宋体"/>
          <w:szCs w:val="32"/>
        </w:rPr>
        <w:fldChar w:fldCharType="separate"/>
      </w:r>
      <w:r>
        <w:rPr>
          <w:rFonts w:hint="eastAsia" w:ascii="仿宋_GB2312" w:hAnsi="宋体"/>
          <w:szCs w:val="32"/>
        </w:rPr>
        <w:t>平均价</w:t>
      </w:r>
      <w:r>
        <w:rPr>
          <w:rFonts w:hint="eastAsia" w:ascii="仿宋_GB2312" w:hAnsi="宋体"/>
          <w:szCs w:val="32"/>
        </w:rPr>
        <w:fldChar w:fldCharType="end"/>
      </w:r>
      <w:r>
        <w:rPr>
          <w:rFonts w:hint="eastAsia" w:ascii="仿宋_GB2312" w:hAnsi="宋体"/>
          <w:szCs w:val="32"/>
        </w:rPr>
        <w:t>。</w:t>
      </w:r>
    </w:p>
    <w:p w14:paraId="74CEF28A">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第十八条  邀标程序</w:t>
      </w:r>
    </w:p>
    <w:p w14:paraId="35954250">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招标办根据项目要求筛选符合条件的供应商经申请部门、财务部、纪检监察审计部共同审议后发出招标邀请，受邀公司不少于三家，按招标程序组织开标、评标、定标。</w:t>
      </w:r>
    </w:p>
    <w:p w14:paraId="71B2A35B">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第十九条  市场考察采购程序</w:t>
      </w:r>
    </w:p>
    <w:p w14:paraId="6F0EF034">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 xml:space="preserve">市场考察项目由招标办组织申请部门、财务部、纪检监察审计部共同到相应市场、厂家进行实地考察、针对采购物资现场谈判，共同确定合作单位，并对考察结果进行签字确认，由招标办拟定考察报告进行报批。 </w:t>
      </w:r>
    </w:p>
    <w:p w14:paraId="6133784D">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第二十条  制定单价项目程序</w:t>
      </w:r>
    </w:p>
    <w:p w14:paraId="772A803D">
      <w:pPr>
        <w:numPr>
          <w:ilvl w:val="0"/>
          <w:numId w:val="4"/>
        </w:numPr>
        <w:adjustRightInd w:val="0"/>
        <w:snapToGrid w:val="0"/>
        <w:spacing w:line="597" w:lineRule="exact"/>
        <w:ind w:firstLine="640" w:firstLineChars="200"/>
        <w:rPr>
          <w:rFonts w:hint="eastAsia" w:ascii="仿宋_GB2312" w:hAnsi="宋体"/>
          <w:color w:val="000000"/>
          <w:szCs w:val="32"/>
        </w:rPr>
      </w:pPr>
      <w:r>
        <w:rPr>
          <w:rFonts w:hint="eastAsia" w:ascii="仿宋_GB2312" w:hAnsi="宋体"/>
          <w:szCs w:val="32"/>
        </w:rPr>
        <w:t>招标办根据维护、维修、改建、简易装修项目所需材料及人工</w:t>
      </w:r>
      <w:r>
        <w:rPr>
          <w:rFonts w:hint="eastAsia" w:ascii="仿宋_GB2312" w:hAnsi="宋体"/>
          <w:color w:val="000000"/>
          <w:szCs w:val="32"/>
        </w:rPr>
        <w:t>组织基建部、总务部、纪检监察审计部、财务部参照以往招标单价并进行市场考察制定单价，据实结算。</w:t>
      </w:r>
    </w:p>
    <w:p w14:paraId="3F61A4E9">
      <w:pPr>
        <w:numPr>
          <w:ilvl w:val="0"/>
          <w:numId w:val="4"/>
        </w:numPr>
        <w:adjustRightInd w:val="0"/>
        <w:snapToGrid w:val="0"/>
        <w:spacing w:line="597" w:lineRule="exact"/>
        <w:ind w:firstLine="640" w:firstLineChars="200"/>
        <w:rPr>
          <w:rFonts w:hint="eastAsia" w:ascii="仿宋_GB2312" w:hAnsi="宋体"/>
          <w:color w:val="000000"/>
          <w:szCs w:val="32"/>
        </w:rPr>
      </w:pPr>
      <w:r>
        <w:rPr>
          <w:rFonts w:hint="eastAsia" w:ascii="仿宋_GB2312" w:hAnsi="宋体"/>
          <w:color w:val="000000"/>
          <w:szCs w:val="32"/>
        </w:rPr>
        <w:t>招标办建立单价信息库，每年更新。</w:t>
      </w:r>
    </w:p>
    <w:p w14:paraId="6BECAF1F">
      <w:pPr>
        <w:numPr>
          <w:ilvl w:val="0"/>
          <w:numId w:val="4"/>
        </w:numPr>
        <w:adjustRightInd w:val="0"/>
        <w:snapToGrid w:val="0"/>
        <w:spacing w:line="597" w:lineRule="exact"/>
        <w:ind w:firstLine="640" w:firstLineChars="200"/>
        <w:rPr>
          <w:rFonts w:hint="eastAsia" w:ascii="仿宋_GB2312" w:hAnsi="宋体"/>
          <w:color w:val="000000"/>
          <w:szCs w:val="32"/>
        </w:rPr>
      </w:pPr>
      <w:r>
        <w:rPr>
          <w:rFonts w:hint="eastAsia" w:ascii="仿宋_GB2312" w:hAnsi="宋体"/>
          <w:szCs w:val="32"/>
        </w:rPr>
        <w:t>工程量由申请部门与基建</w:t>
      </w:r>
      <w:r>
        <w:rPr>
          <w:rFonts w:hint="eastAsia" w:ascii="仿宋_GB2312" w:hAnsi="宋体"/>
          <w:color w:val="000000"/>
          <w:szCs w:val="32"/>
        </w:rPr>
        <w:t>部、总务部、纪检监察审计部共同审核确定。</w:t>
      </w:r>
    </w:p>
    <w:p w14:paraId="0CA3C897">
      <w:pPr>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第二十一条  大额采购项目定标报告由招标办根据招标情况起草，经招标办负责人、分管采购工作院领导、院长审批同意，中标结果进行公告，期限为1个工作日，公告结束无异议后下达中标通知书。</w:t>
      </w:r>
    </w:p>
    <w:p w14:paraId="39F4C03A">
      <w:pPr>
        <w:adjustRightInd w:val="0"/>
        <w:snapToGrid w:val="0"/>
        <w:spacing w:line="597" w:lineRule="exact"/>
        <w:jc w:val="center"/>
        <w:rPr>
          <w:rFonts w:hint="eastAsia" w:ascii="黑体" w:hAnsi="黑体" w:eastAsia="黑体"/>
          <w:kern w:val="0"/>
          <w:szCs w:val="32"/>
        </w:rPr>
      </w:pPr>
      <w:r>
        <w:rPr>
          <w:rFonts w:hint="eastAsia" w:ascii="黑体" w:hAnsi="黑体" w:eastAsia="黑体"/>
          <w:kern w:val="0"/>
          <w:szCs w:val="32"/>
        </w:rPr>
        <w:t>第五章  采购合同</w:t>
      </w:r>
    </w:p>
    <w:p w14:paraId="242EA20C">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第二十二条  申请单位或部门代表学校, 遵照合同法和相关法律法规，按照平等、自愿的原则，与中标（成交）供应商签订合同。</w:t>
      </w:r>
    </w:p>
    <w:p w14:paraId="5A747959">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第二十三条  申请单位或部门应当在中标通知书发出之日起30日内，按照招标文件、投标文件或双方达成一致意见的事项，与供应商签订合同。</w:t>
      </w:r>
    </w:p>
    <w:p w14:paraId="10FEB838">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第二十四条  合同的审核、审批程序按照《新乡医学院三全学院经济合同管理办法（试行）》执行。</w:t>
      </w:r>
    </w:p>
    <w:p w14:paraId="16617DAA">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第二十五条  合同签订后，申请单位或部门应为中标（成交）供应商提供合同履行的必要条件，配合中标（成交）供应商履行合同义务,并在合同执行完毕后进行履约验收。</w:t>
      </w:r>
    </w:p>
    <w:p w14:paraId="37A672C5">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第二十六条  学校大额采购项目建立资料档案。资料档案包括采购申请、招标（谈判）文件、投标（响应）文件正本、开评标记录、定标报告、合同文本及其他有关文件资料。</w:t>
      </w:r>
    </w:p>
    <w:p w14:paraId="29F7D1C4">
      <w:pPr>
        <w:adjustRightInd w:val="0"/>
        <w:snapToGrid w:val="0"/>
        <w:spacing w:line="597" w:lineRule="exact"/>
        <w:jc w:val="center"/>
        <w:rPr>
          <w:rFonts w:hint="eastAsia" w:ascii="黑体" w:hAnsi="宋体" w:eastAsia="黑体"/>
          <w:color w:val="000000"/>
          <w:szCs w:val="32"/>
        </w:rPr>
      </w:pPr>
      <w:r>
        <w:rPr>
          <w:rFonts w:hint="eastAsia" w:ascii="黑体" w:hAnsi="黑体" w:eastAsia="黑体"/>
          <w:color w:val="000000"/>
          <w:kern w:val="0"/>
          <w:szCs w:val="32"/>
        </w:rPr>
        <w:t>第六章  监督检查</w:t>
      </w:r>
    </w:p>
    <w:p w14:paraId="128FEB21">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 xml:space="preserve">第二十七条  学校采购工作接受纪检监察审计部监督。监督检查的主要内容包括： </w:t>
      </w:r>
    </w:p>
    <w:p w14:paraId="66C0F797">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（一）有关招投标与采购的法律、行政法规和学校规章制度的执行情况</w:t>
      </w:r>
      <w:r>
        <w:rPr>
          <w:rFonts w:hint="eastAsia" w:ascii="仿宋_GB2312" w:hAnsi="宋体"/>
          <w:color w:val="000000"/>
          <w:szCs w:val="32"/>
        </w:rPr>
        <w:t>。</w:t>
      </w:r>
      <w:r>
        <w:rPr>
          <w:rFonts w:hint="eastAsia" w:ascii="仿宋_GB2312" w:hAnsi="宋体"/>
          <w:szCs w:val="32"/>
        </w:rPr>
        <w:t xml:space="preserve"> </w:t>
      </w:r>
    </w:p>
    <w:p w14:paraId="71ED1BB0">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（二）招投标的范围、方式和程序的执行情况</w:t>
      </w:r>
      <w:r>
        <w:rPr>
          <w:rFonts w:hint="eastAsia" w:ascii="仿宋_GB2312" w:hAnsi="宋体"/>
          <w:color w:val="000000"/>
          <w:szCs w:val="32"/>
        </w:rPr>
        <w:t>。</w:t>
      </w:r>
      <w:r>
        <w:rPr>
          <w:rFonts w:hint="eastAsia" w:ascii="仿宋_GB2312" w:hAnsi="宋体"/>
          <w:szCs w:val="32"/>
        </w:rPr>
        <w:t xml:space="preserve"> </w:t>
      </w:r>
    </w:p>
    <w:p w14:paraId="6E9B1B8F">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 xml:space="preserve">（三）应当监督检查的其他内容。 </w:t>
      </w:r>
    </w:p>
    <w:p w14:paraId="2FD9494D">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 xml:space="preserve">第二十八条  招标办应当建立健全内部控制制度，明确招投标工作的决策和执行程序，建立相互监督、相互制约的工作机制。 </w:t>
      </w:r>
    </w:p>
    <w:p w14:paraId="5EB774F9">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 xml:space="preserve">第二十九条  招标办应切实加强反腐倡廉建设，建立和完善内部工作纪律，工作人员应廉洁务实地做好招标采购工作。 </w:t>
      </w:r>
    </w:p>
    <w:p w14:paraId="22491B9B">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第三十条  校内单位或工作人员在参与招投标工作中出现下列情形之一的，学校招投标工作领导小组应责令其改正，对直接主管人员和其他直接责任人员，按照有关规定进行处理。</w:t>
      </w:r>
    </w:p>
    <w:p w14:paraId="27932494">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（一）应当采用公开招标方式而擅自采用其他方式采购的，将必须进行招标的项目化整为零或以其他任何方式规避招标的</w:t>
      </w:r>
      <w:r>
        <w:rPr>
          <w:rFonts w:hint="eastAsia" w:ascii="仿宋_GB2312" w:hAnsi="宋体"/>
          <w:color w:val="000000"/>
          <w:szCs w:val="32"/>
        </w:rPr>
        <w:t>。</w:t>
      </w:r>
      <w:r>
        <w:rPr>
          <w:rFonts w:hint="eastAsia" w:ascii="仿宋_GB2312" w:hAnsi="宋体"/>
          <w:szCs w:val="32"/>
        </w:rPr>
        <w:t xml:space="preserve"> </w:t>
      </w:r>
    </w:p>
    <w:p w14:paraId="45CB6602">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（二）以不合理的要求限制或者排斥潜在投标人，对潜在投标人实行差别待遇或者歧视待遇，或者招标文件指定特定的投标人、含有倾向性或者排斥潜在投标人等其他内容的</w:t>
      </w:r>
      <w:r>
        <w:rPr>
          <w:rFonts w:hint="eastAsia" w:ascii="仿宋_GB2312" w:hAnsi="宋体"/>
          <w:color w:val="000000"/>
          <w:szCs w:val="32"/>
        </w:rPr>
        <w:t>。</w:t>
      </w:r>
      <w:r>
        <w:rPr>
          <w:rFonts w:hint="eastAsia" w:ascii="仿宋_GB2312" w:hAnsi="宋体"/>
          <w:szCs w:val="32"/>
        </w:rPr>
        <w:t xml:space="preserve"> </w:t>
      </w:r>
    </w:p>
    <w:p w14:paraId="061615D5">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（三）与投标人恶意串通的</w:t>
      </w:r>
      <w:r>
        <w:rPr>
          <w:rFonts w:hint="eastAsia" w:ascii="仿宋_GB2312" w:hAnsi="宋体"/>
          <w:color w:val="000000"/>
          <w:szCs w:val="32"/>
        </w:rPr>
        <w:t>。</w:t>
      </w:r>
      <w:r>
        <w:rPr>
          <w:rFonts w:hint="eastAsia" w:ascii="仿宋_GB2312" w:hAnsi="宋体"/>
          <w:szCs w:val="32"/>
        </w:rPr>
        <w:t xml:space="preserve"> </w:t>
      </w:r>
    </w:p>
    <w:p w14:paraId="487814E7">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（四）采购过程中接受贿赂或者获取其他不正当利益的</w:t>
      </w:r>
      <w:r>
        <w:rPr>
          <w:rFonts w:hint="eastAsia" w:ascii="仿宋_GB2312" w:hAnsi="宋体"/>
          <w:color w:val="000000"/>
          <w:szCs w:val="32"/>
        </w:rPr>
        <w:t>。</w:t>
      </w:r>
      <w:r>
        <w:rPr>
          <w:rFonts w:hint="eastAsia" w:ascii="仿宋_GB2312" w:hAnsi="宋体"/>
          <w:szCs w:val="32"/>
        </w:rPr>
        <w:t xml:space="preserve"> </w:t>
      </w:r>
    </w:p>
    <w:p w14:paraId="33B0F58F">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（五）泄露应当保密的与采购活动有关的情况和资料的</w:t>
      </w:r>
      <w:r>
        <w:rPr>
          <w:rFonts w:hint="eastAsia" w:ascii="仿宋_GB2312" w:hAnsi="宋体"/>
          <w:color w:val="000000"/>
          <w:szCs w:val="32"/>
        </w:rPr>
        <w:t>。</w:t>
      </w:r>
      <w:r>
        <w:rPr>
          <w:rFonts w:hint="eastAsia" w:ascii="仿宋_GB2312" w:hAnsi="宋体"/>
          <w:szCs w:val="32"/>
        </w:rPr>
        <w:t xml:space="preserve"> </w:t>
      </w:r>
    </w:p>
    <w:p w14:paraId="49D18560">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（六）中标通知书发出后30日无故内不与中标人签订采购合同的</w:t>
      </w:r>
      <w:r>
        <w:rPr>
          <w:rFonts w:hint="eastAsia" w:ascii="仿宋_GB2312" w:hAnsi="宋体"/>
          <w:color w:val="000000"/>
          <w:szCs w:val="32"/>
        </w:rPr>
        <w:t>。</w:t>
      </w:r>
    </w:p>
    <w:p w14:paraId="3467A507">
      <w:pPr>
        <w:adjustRightInd w:val="0"/>
        <w:snapToGrid w:val="0"/>
        <w:spacing w:line="597" w:lineRule="exact"/>
        <w:ind w:firstLine="640" w:firstLineChars="200"/>
        <w:rPr>
          <w:rFonts w:hint="eastAsia" w:ascii="仿宋_GB2312" w:hAnsi="宋体"/>
          <w:szCs w:val="32"/>
        </w:rPr>
      </w:pPr>
      <w:r>
        <w:rPr>
          <w:rFonts w:hint="eastAsia" w:ascii="仿宋_GB2312" w:hAnsi="宋体"/>
          <w:szCs w:val="32"/>
        </w:rPr>
        <w:t>（七）在有关部门实施的监督检查中提供虚假情况的</w:t>
      </w:r>
      <w:r>
        <w:rPr>
          <w:rFonts w:hint="eastAsia" w:ascii="仿宋_GB2312" w:hAnsi="宋体"/>
          <w:color w:val="000000"/>
          <w:szCs w:val="32"/>
        </w:rPr>
        <w:t>。</w:t>
      </w:r>
    </w:p>
    <w:p w14:paraId="39BA0244">
      <w:pPr>
        <w:adjustRightInd w:val="0"/>
        <w:snapToGrid w:val="0"/>
        <w:spacing w:line="597" w:lineRule="exact"/>
        <w:ind w:firstLine="640" w:firstLineChars="200"/>
        <w:rPr>
          <w:rFonts w:hint="eastAsia" w:ascii="黑体" w:hAnsi="黑体" w:eastAsia="黑体"/>
          <w:color w:val="000000"/>
          <w:kern w:val="0"/>
          <w:szCs w:val="32"/>
        </w:rPr>
      </w:pPr>
      <w:r>
        <w:rPr>
          <w:rFonts w:hint="eastAsia" w:ascii="仿宋_GB2312" w:hAnsi="宋体"/>
          <w:szCs w:val="32"/>
        </w:rPr>
        <w:t xml:space="preserve">（八）其他违法、违纪、违规的行为。 </w:t>
      </w:r>
    </w:p>
    <w:p w14:paraId="248A27FB">
      <w:pPr>
        <w:adjustRightInd w:val="0"/>
        <w:snapToGrid w:val="0"/>
        <w:spacing w:line="597" w:lineRule="exact"/>
        <w:jc w:val="center"/>
        <w:rPr>
          <w:rFonts w:hint="eastAsia" w:ascii="黑体" w:hAnsi="黑体" w:eastAsia="黑体"/>
          <w:color w:val="000000"/>
          <w:kern w:val="0"/>
          <w:szCs w:val="32"/>
        </w:rPr>
      </w:pPr>
      <w:r>
        <w:rPr>
          <w:rFonts w:hint="eastAsia" w:ascii="黑体" w:hAnsi="黑体" w:eastAsia="黑体"/>
          <w:color w:val="000000"/>
          <w:kern w:val="0"/>
          <w:szCs w:val="32"/>
        </w:rPr>
        <w:t>第七章  附  则</w:t>
      </w:r>
    </w:p>
    <w:p w14:paraId="7E674E44">
      <w:pPr>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第三十一条  本办法由招投标与集中采购部负责解释。</w:t>
      </w:r>
    </w:p>
    <w:p w14:paraId="542267BA">
      <w:pPr>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第三十二条  本办法自发布之日起实施，原《新乡医学院三全学院采购管理办法》（院发〔2015〕28号</w:t>
      </w:r>
      <w:r>
        <w:rPr>
          <w:rFonts w:hint="eastAsia" w:ascii="仿宋_GB2312"/>
          <w:szCs w:val="32"/>
        </w:rPr>
        <w:t>）</w:t>
      </w:r>
      <w:r>
        <w:rPr>
          <w:rFonts w:hint="eastAsia" w:ascii="仿宋_GB2312" w:hAnsi="宋体"/>
          <w:szCs w:val="32"/>
        </w:rPr>
        <w:t>同时废止。</w:t>
      </w:r>
    </w:p>
    <w:p w14:paraId="3D3AD691">
      <w:pPr>
        <w:adjustRightInd w:val="0"/>
        <w:snapToGrid w:val="0"/>
        <w:spacing w:line="597" w:lineRule="exact"/>
        <w:ind w:firstLine="640" w:firstLineChars="200"/>
        <w:jc w:val="left"/>
        <w:rPr>
          <w:rFonts w:hint="eastAsia" w:ascii="仿宋_GB2312" w:hAnsi="宋体"/>
          <w:szCs w:val="32"/>
        </w:rPr>
      </w:pPr>
    </w:p>
    <w:p w14:paraId="38E69868">
      <w:pPr>
        <w:adjustRightInd w:val="0"/>
        <w:snapToGrid w:val="0"/>
        <w:spacing w:line="597" w:lineRule="exact"/>
        <w:ind w:firstLine="640" w:firstLineChars="200"/>
        <w:jc w:val="left"/>
        <w:rPr>
          <w:rFonts w:hint="eastAsia" w:ascii="仿宋_GB2312" w:hAnsi="宋体"/>
          <w:szCs w:val="32"/>
        </w:rPr>
      </w:pPr>
      <w:r>
        <w:rPr>
          <w:rFonts w:hint="eastAsia" w:ascii="仿宋_GB2312" w:hAnsi="宋体"/>
          <w:szCs w:val="32"/>
        </w:rPr>
        <w:t>附件：1.新乡医学院三全学院招标项目申请表</w:t>
      </w:r>
    </w:p>
    <w:p w14:paraId="5E24805E">
      <w:pPr>
        <w:adjustRightInd w:val="0"/>
        <w:snapToGrid w:val="0"/>
        <w:spacing w:line="597" w:lineRule="exact"/>
        <w:ind w:firstLine="1600" w:firstLineChars="500"/>
        <w:jc w:val="left"/>
        <w:rPr>
          <w:rFonts w:hint="eastAsia" w:ascii="仿宋_GB2312" w:hAnsi="宋体"/>
          <w:szCs w:val="32"/>
        </w:rPr>
      </w:pPr>
      <w:r>
        <w:rPr>
          <w:rFonts w:hint="eastAsia" w:ascii="仿宋_GB2312" w:hAnsi="宋体"/>
          <w:szCs w:val="32"/>
        </w:rPr>
        <w:t>2.新乡医学院三全学院物资设备申购单</w:t>
      </w:r>
    </w:p>
    <w:p w14:paraId="3A4A80C0">
      <w:pPr>
        <w:adjustRightInd w:val="0"/>
        <w:snapToGrid w:val="0"/>
        <w:spacing w:line="360" w:lineRule="auto"/>
        <w:jc w:val="left"/>
        <w:rPr>
          <w:rFonts w:hint="eastAsia" w:ascii="仿宋_GB2312" w:hAnsi="宋体"/>
          <w:b/>
          <w:bCs/>
          <w:szCs w:val="32"/>
        </w:rPr>
      </w:pPr>
    </w:p>
    <w:p w14:paraId="559A614E">
      <w:pPr>
        <w:widowControl/>
        <w:adjustRightInd w:val="0"/>
        <w:spacing w:line="360" w:lineRule="auto"/>
        <w:jc w:val="left"/>
        <w:rPr>
          <w:rFonts w:hint="eastAsia" w:ascii="仿宋_GB2312" w:hAnsi="宋体"/>
          <w:b/>
          <w:bCs/>
          <w:szCs w:val="32"/>
        </w:rPr>
      </w:pPr>
    </w:p>
    <w:p w14:paraId="490CBE73">
      <w:pPr>
        <w:adjustRightInd w:val="0"/>
        <w:snapToGrid w:val="0"/>
        <w:spacing w:line="597" w:lineRule="exact"/>
        <w:jc w:val="left"/>
        <w:rPr>
          <w:rFonts w:hint="eastAsia" w:ascii="仿宋_GB2312" w:hAnsi="宋体"/>
          <w:b/>
          <w:bCs/>
          <w:szCs w:val="32"/>
        </w:rPr>
      </w:pPr>
      <w:r>
        <w:rPr>
          <w:rFonts w:ascii="黑体" w:hAnsi="黑体" w:eastAsia="黑体" w:cs="黑体"/>
          <w:szCs w:val="32"/>
        </w:rPr>
        <w:br w:type="page" w:clear="all"/>
      </w:r>
      <w:r>
        <w:rPr>
          <w:rFonts w:hint="eastAsia" w:ascii="黑体" w:hAnsi="黑体" w:eastAsia="黑体" w:cs="黑体"/>
          <w:szCs w:val="32"/>
        </w:rPr>
        <w:t xml:space="preserve">附件1  </w:t>
      </w:r>
      <w:r>
        <w:rPr>
          <w:rFonts w:hint="eastAsia" w:ascii="仿宋_GB2312" w:hAnsi="宋体"/>
          <w:b/>
          <w:bCs/>
          <w:szCs w:val="32"/>
        </w:rPr>
        <w:t xml:space="preserve">        </w:t>
      </w:r>
    </w:p>
    <w:p w14:paraId="6A442740">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新乡医学院三全学院招标项目申请表</w:t>
      </w:r>
    </w:p>
    <w:p w14:paraId="53AD16B0">
      <w:pPr>
        <w:widowControl/>
        <w:adjustRightInd w:val="0"/>
        <w:snapToGrid w:val="0"/>
        <w:spacing w:line="360" w:lineRule="auto"/>
        <w:jc w:val="left"/>
        <w:rPr>
          <w:rFonts w:hint="eastAsia"/>
          <w:sz w:val="21"/>
          <w:szCs w:val="21"/>
        </w:rPr>
      </w:pPr>
      <w:r>
        <w:rPr>
          <w:rFonts w:hint="eastAsia"/>
          <w:sz w:val="28"/>
          <w:szCs w:val="28"/>
        </w:rPr>
        <w:t xml:space="preserve"> </w:t>
      </w:r>
      <w:r>
        <w:rPr>
          <w:rFonts w:hint="eastAsia" w:ascii="宋体" w:hAnsi="宋体"/>
          <w:sz w:val="24"/>
        </w:rPr>
        <w:t>时</w:t>
      </w:r>
      <w:r>
        <w:rPr>
          <w:rFonts w:hint="eastAsia"/>
          <w:sz w:val="24"/>
        </w:rPr>
        <w:t xml:space="preserve">  </w:t>
      </w:r>
      <w:r>
        <w:rPr>
          <w:rFonts w:hint="eastAsia" w:ascii="宋体" w:hAnsi="宋体"/>
          <w:sz w:val="24"/>
        </w:rPr>
        <w:t>间：</w:t>
      </w:r>
      <w:r>
        <w:rPr>
          <w:sz w:val="24"/>
        </w:rPr>
        <w:t xml:space="preserve"> </w:t>
      </w:r>
    </w:p>
    <w:tbl>
      <w:tblPr>
        <w:tblStyle w:val="28"/>
        <w:tblW w:w="105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29"/>
        <w:gridCol w:w="1581"/>
        <w:gridCol w:w="1755"/>
        <w:gridCol w:w="9"/>
        <w:gridCol w:w="1751"/>
        <w:gridCol w:w="1755"/>
        <w:gridCol w:w="1757"/>
      </w:tblGrid>
      <w:tr w14:paraId="46987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1930" w:type="dxa"/>
            <w:tcBorders>
              <w:top w:val="single" w:color="000000" w:sz="4" w:space="0"/>
              <w:left w:val="single" w:color="000000" w:sz="4" w:space="0"/>
              <w:bottom w:val="single" w:color="000000" w:sz="4" w:space="0"/>
              <w:right w:val="single" w:color="000000" w:sz="4" w:space="0"/>
            </w:tcBorders>
            <w:noWrap w:val="0"/>
            <w:vAlign w:val="center"/>
          </w:tcPr>
          <w:p w14:paraId="273CE3F1">
            <w:pPr>
              <w:autoSpaceDE w:val="0"/>
              <w:adjustRightInd w:val="0"/>
              <w:snapToGrid w:val="0"/>
              <w:jc w:val="center"/>
              <w:rPr>
                <w:rFonts w:ascii="仿宋" w:hAnsi="仿宋" w:eastAsia="仿宋"/>
                <w:sz w:val="24"/>
              </w:rPr>
            </w:pPr>
            <w:r>
              <w:rPr>
                <w:rFonts w:hint="eastAsia" w:ascii="仿宋" w:hAnsi="仿宋" w:eastAsia="仿宋"/>
                <w:sz w:val="24"/>
              </w:rPr>
              <w:t>项目编号</w:t>
            </w:r>
          </w:p>
        </w:tc>
        <w:tc>
          <w:tcPr>
            <w:tcW w:w="3338" w:type="dxa"/>
            <w:gridSpan w:val="2"/>
            <w:tcBorders>
              <w:top w:val="single" w:color="000000" w:sz="4" w:space="0"/>
              <w:left w:val="single" w:color="000000" w:sz="4" w:space="0"/>
              <w:bottom w:val="single" w:color="000000" w:sz="4" w:space="0"/>
              <w:right w:val="single" w:color="000000" w:sz="4" w:space="0"/>
            </w:tcBorders>
            <w:noWrap w:val="0"/>
            <w:vAlign w:val="center"/>
          </w:tcPr>
          <w:p w14:paraId="5D7C2651">
            <w:pPr>
              <w:autoSpaceDE w:val="0"/>
              <w:adjustRightInd w:val="0"/>
              <w:snapToGrid w:val="0"/>
              <w:jc w:val="center"/>
              <w:rPr>
                <w:rFonts w:ascii="仿宋" w:hAnsi="仿宋" w:eastAsia="仿宋"/>
                <w:sz w:val="24"/>
              </w:rPr>
            </w:pPr>
          </w:p>
        </w:tc>
        <w:tc>
          <w:tcPr>
            <w:tcW w:w="1756" w:type="dxa"/>
            <w:gridSpan w:val="2"/>
            <w:tcBorders>
              <w:top w:val="single" w:color="000000" w:sz="4" w:space="0"/>
              <w:left w:val="single" w:color="000000" w:sz="4" w:space="0"/>
              <w:bottom w:val="single" w:color="000000" w:sz="4" w:space="0"/>
              <w:right w:val="single" w:color="000000" w:sz="4" w:space="0"/>
            </w:tcBorders>
            <w:noWrap w:val="0"/>
            <w:vAlign w:val="center"/>
          </w:tcPr>
          <w:p w14:paraId="6E5816F8">
            <w:pPr>
              <w:autoSpaceDE w:val="0"/>
              <w:adjustRightInd w:val="0"/>
              <w:snapToGrid w:val="0"/>
              <w:jc w:val="center"/>
              <w:rPr>
                <w:rFonts w:ascii="仿宋" w:hAnsi="仿宋" w:eastAsia="仿宋"/>
                <w:sz w:val="24"/>
              </w:rPr>
            </w:pPr>
            <w:r>
              <w:rPr>
                <w:rFonts w:hint="eastAsia" w:ascii="仿宋" w:hAnsi="仿宋" w:eastAsia="仿宋"/>
                <w:sz w:val="24"/>
              </w:rPr>
              <w:t>项目名称</w:t>
            </w:r>
          </w:p>
        </w:tc>
        <w:tc>
          <w:tcPr>
            <w:tcW w:w="3513" w:type="dxa"/>
            <w:gridSpan w:val="2"/>
            <w:tcBorders>
              <w:top w:val="single" w:color="000000" w:sz="4" w:space="0"/>
              <w:left w:val="single" w:color="000000" w:sz="4" w:space="0"/>
              <w:bottom w:val="single" w:color="000000" w:sz="4" w:space="0"/>
              <w:right w:val="single" w:color="000000" w:sz="4" w:space="0"/>
            </w:tcBorders>
            <w:noWrap w:val="0"/>
            <w:vAlign w:val="center"/>
          </w:tcPr>
          <w:p w14:paraId="61208DB8">
            <w:pPr>
              <w:autoSpaceDE w:val="0"/>
              <w:adjustRightInd w:val="0"/>
              <w:snapToGrid w:val="0"/>
              <w:jc w:val="center"/>
              <w:rPr>
                <w:rFonts w:ascii="仿宋" w:hAnsi="仿宋" w:eastAsia="仿宋"/>
                <w:sz w:val="24"/>
              </w:rPr>
            </w:pPr>
          </w:p>
        </w:tc>
      </w:tr>
      <w:tr w14:paraId="51A4E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jc w:val="center"/>
        </w:trPr>
        <w:tc>
          <w:tcPr>
            <w:tcW w:w="1930" w:type="dxa"/>
            <w:tcBorders>
              <w:top w:val="single" w:color="000000" w:sz="4" w:space="0"/>
              <w:left w:val="single" w:color="000000" w:sz="4" w:space="0"/>
              <w:bottom w:val="single" w:color="000000" w:sz="4" w:space="0"/>
              <w:right w:val="single" w:color="000000" w:sz="4" w:space="0"/>
            </w:tcBorders>
            <w:noWrap w:val="0"/>
            <w:vAlign w:val="center"/>
          </w:tcPr>
          <w:p w14:paraId="3B72EB22">
            <w:pPr>
              <w:autoSpaceDE w:val="0"/>
              <w:adjustRightInd w:val="0"/>
              <w:snapToGrid w:val="0"/>
              <w:jc w:val="center"/>
              <w:rPr>
                <w:rFonts w:ascii="仿宋" w:hAnsi="仿宋" w:eastAsia="仿宋"/>
                <w:sz w:val="24"/>
              </w:rPr>
            </w:pPr>
            <w:r>
              <w:rPr>
                <w:rFonts w:hint="eastAsia" w:ascii="仿宋" w:hAnsi="仿宋" w:eastAsia="仿宋"/>
                <w:sz w:val="24"/>
              </w:rPr>
              <w:t>项目内容</w:t>
            </w:r>
          </w:p>
          <w:p w14:paraId="5D67E60B">
            <w:pPr>
              <w:autoSpaceDE w:val="0"/>
              <w:adjustRightInd w:val="0"/>
              <w:snapToGrid w:val="0"/>
              <w:jc w:val="center"/>
              <w:rPr>
                <w:rFonts w:ascii="仿宋" w:hAnsi="仿宋" w:eastAsia="仿宋"/>
                <w:sz w:val="24"/>
              </w:rPr>
            </w:pPr>
            <w:r>
              <w:rPr>
                <w:rFonts w:hint="eastAsia" w:ascii="仿宋" w:hAnsi="仿宋" w:eastAsia="仿宋"/>
                <w:sz w:val="24"/>
              </w:rPr>
              <w:t>摘要</w:t>
            </w:r>
          </w:p>
        </w:tc>
        <w:tc>
          <w:tcPr>
            <w:tcW w:w="3338" w:type="dxa"/>
            <w:gridSpan w:val="2"/>
            <w:tcBorders>
              <w:top w:val="single" w:color="000000" w:sz="4" w:space="0"/>
              <w:left w:val="single" w:color="000000" w:sz="4" w:space="0"/>
              <w:bottom w:val="single" w:color="000000" w:sz="4" w:space="0"/>
              <w:right w:val="single" w:color="000000" w:sz="4" w:space="0"/>
            </w:tcBorders>
            <w:noWrap w:val="0"/>
            <w:vAlign w:val="center"/>
          </w:tcPr>
          <w:p w14:paraId="7443B5A4">
            <w:pPr>
              <w:autoSpaceDE w:val="0"/>
              <w:adjustRightInd w:val="0"/>
              <w:snapToGrid w:val="0"/>
              <w:jc w:val="center"/>
              <w:rPr>
                <w:rFonts w:ascii="仿宋" w:hAnsi="仿宋" w:eastAsia="仿宋"/>
                <w:sz w:val="24"/>
              </w:rPr>
            </w:pPr>
          </w:p>
        </w:tc>
        <w:tc>
          <w:tcPr>
            <w:tcW w:w="1756" w:type="dxa"/>
            <w:gridSpan w:val="2"/>
            <w:tcBorders>
              <w:top w:val="single" w:color="000000" w:sz="4" w:space="0"/>
              <w:left w:val="single" w:color="000000" w:sz="4" w:space="0"/>
              <w:bottom w:val="single" w:color="000000" w:sz="4" w:space="0"/>
              <w:right w:val="single" w:color="000000" w:sz="4" w:space="0"/>
            </w:tcBorders>
            <w:noWrap w:val="0"/>
            <w:vAlign w:val="center"/>
          </w:tcPr>
          <w:p w14:paraId="1D0994E8">
            <w:pPr>
              <w:autoSpaceDE w:val="0"/>
              <w:adjustRightInd w:val="0"/>
              <w:snapToGrid w:val="0"/>
              <w:jc w:val="center"/>
              <w:rPr>
                <w:rFonts w:ascii="仿宋" w:hAnsi="仿宋" w:eastAsia="仿宋"/>
                <w:sz w:val="24"/>
              </w:rPr>
            </w:pPr>
            <w:r>
              <w:rPr>
                <w:rFonts w:hint="eastAsia" w:ascii="仿宋" w:hAnsi="仿宋" w:eastAsia="仿宋"/>
                <w:sz w:val="24"/>
              </w:rPr>
              <w:t>预算金额</w:t>
            </w:r>
          </w:p>
        </w:tc>
        <w:tc>
          <w:tcPr>
            <w:tcW w:w="3513" w:type="dxa"/>
            <w:gridSpan w:val="2"/>
            <w:tcBorders>
              <w:top w:val="single" w:color="000000" w:sz="4" w:space="0"/>
              <w:left w:val="single" w:color="000000" w:sz="4" w:space="0"/>
              <w:bottom w:val="single" w:color="000000" w:sz="4" w:space="0"/>
              <w:right w:val="single" w:color="000000" w:sz="4" w:space="0"/>
            </w:tcBorders>
            <w:noWrap w:val="0"/>
            <w:vAlign w:val="center"/>
          </w:tcPr>
          <w:p w14:paraId="30CC7A7E">
            <w:pPr>
              <w:autoSpaceDE w:val="0"/>
              <w:adjustRightInd w:val="0"/>
              <w:snapToGrid w:val="0"/>
              <w:jc w:val="center"/>
              <w:rPr>
                <w:rFonts w:ascii="仿宋" w:hAnsi="仿宋" w:eastAsia="仿宋"/>
                <w:sz w:val="24"/>
              </w:rPr>
            </w:pPr>
          </w:p>
        </w:tc>
      </w:tr>
      <w:tr w14:paraId="0940B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1930" w:type="dxa"/>
            <w:tcBorders>
              <w:top w:val="single" w:color="000000" w:sz="4" w:space="0"/>
              <w:left w:val="single" w:color="000000" w:sz="4" w:space="0"/>
              <w:bottom w:val="single" w:color="000000" w:sz="4" w:space="0"/>
              <w:right w:val="single" w:color="000000" w:sz="4" w:space="0"/>
            </w:tcBorders>
            <w:noWrap w:val="0"/>
            <w:vAlign w:val="center"/>
          </w:tcPr>
          <w:p w14:paraId="1DFC9A54">
            <w:pPr>
              <w:autoSpaceDE w:val="0"/>
              <w:adjustRightInd w:val="0"/>
              <w:snapToGrid w:val="0"/>
              <w:jc w:val="center"/>
              <w:rPr>
                <w:rFonts w:ascii="仿宋" w:hAnsi="仿宋" w:eastAsia="仿宋"/>
                <w:sz w:val="24"/>
              </w:rPr>
            </w:pPr>
            <w:r>
              <w:rPr>
                <w:rFonts w:hint="eastAsia" w:ascii="仿宋" w:hAnsi="仿宋" w:eastAsia="仿宋"/>
                <w:sz w:val="24"/>
              </w:rPr>
              <w:t>项目可行性</w:t>
            </w:r>
          </w:p>
          <w:p w14:paraId="0FF8FF22">
            <w:pPr>
              <w:autoSpaceDE w:val="0"/>
              <w:adjustRightInd w:val="0"/>
              <w:snapToGrid w:val="0"/>
              <w:jc w:val="center"/>
              <w:rPr>
                <w:rFonts w:ascii="仿宋" w:hAnsi="仿宋" w:eastAsia="仿宋"/>
                <w:sz w:val="24"/>
              </w:rPr>
            </w:pPr>
            <w:r>
              <w:rPr>
                <w:rFonts w:hint="eastAsia" w:ascii="仿宋" w:hAnsi="仿宋" w:eastAsia="仿宋"/>
                <w:sz w:val="24"/>
              </w:rPr>
              <w:t>与必要性</w:t>
            </w:r>
          </w:p>
        </w:tc>
        <w:tc>
          <w:tcPr>
            <w:tcW w:w="3338" w:type="dxa"/>
            <w:gridSpan w:val="2"/>
            <w:tcBorders>
              <w:top w:val="single" w:color="000000" w:sz="4" w:space="0"/>
              <w:left w:val="single" w:color="000000" w:sz="4" w:space="0"/>
              <w:bottom w:val="single" w:color="000000" w:sz="4" w:space="0"/>
              <w:right w:val="single" w:color="000000" w:sz="4" w:space="0"/>
            </w:tcBorders>
            <w:noWrap w:val="0"/>
            <w:vAlign w:val="center"/>
          </w:tcPr>
          <w:p w14:paraId="24E244BE">
            <w:pPr>
              <w:autoSpaceDE w:val="0"/>
              <w:adjustRightInd w:val="0"/>
              <w:snapToGrid w:val="0"/>
              <w:jc w:val="center"/>
              <w:rPr>
                <w:rFonts w:ascii="仿宋" w:hAnsi="仿宋" w:eastAsia="仿宋"/>
                <w:sz w:val="24"/>
              </w:rPr>
            </w:pPr>
          </w:p>
        </w:tc>
        <w:tc>
          <w:tcPr>
            <w:tcW w:w="1756" w:type="dxa"/>
            <w:gridSpan w:val="2"/>
            <w:tcBorders>
              <w:top w:val="single" w:color="000000" w:sz="4" w:space="0"/>
              <w:left w:val="single" w:color="000000" w:sz="4" w:space="0"/>
              <w:bottom w:val="single" w:color="000000" w:sz="4" w:space="0"/>
              <w:right w:val="single" w:color="000000" w:sz="4" w:space="0"/>
            </w:tcBorders>
            <w:noWrap w:val="0"/>
            <w:vAlign w:val="center"/>
          </w:tcPr>
          <w:p w14:paraId="660D37FB">
            <w:pPr>
              <w:autoSpaceDE w:val="0"/>
              <w:adjustRightInd w:val="0"/>
              <w:snapToGrid w:val="0"/>
              <w:jc w:val="center"/>
              <w:rPr>
                <w:rFonts w:ascii="仿宋" w:hAnsi="仿宋" w:eastAsia="仿宋"/>
                <w:sz w:val="24"/>
              </w:rPr>
            </w:pPr>
            <w:r>
              <w:rPr>
                <w:rFonts w:hint="eastAsia" w:ascii="仿宋" w:hAnsi="仿宋" w:eastAsia="仿宋"/>
                <w:sz w:val="24"/>
              </w:rPr>
              <w:t>院务会审议</w:t>
            </w:r>
          </w:p>
        </w:tc>
        <w:tc>
          <w:tcPr>
            <w:tcW w:w="3513" w:type="dxa"/>
            <w:gridSpan w:val="2"/>
            <w:tcBorders>
              <w:top w:val="single" w:color="000000" w:sz="4" w:space="0"/>
              <w:left w:val="single" w:color="000000" w:sz="4" w:space="0"/>
              <w:bottom w:val="single" w:color="000000" w:sz="4" w:space="0"/>
              <w:right w:val="single" w:color="000000" w:sz="4" w:space="0"/>
            </w:tcBorders>
            <w:noWrap w:val="0"/>
            <w:vAlign w:val="center"/>
          </w:tcPr>
          <w:p w14:paraId="46E93A33">
            <w:pPr>
              <w:autoSpaceDE w:val="0"/>
              <w:adjustRightInd w:val="0"/>
              <w:snapToGrid w:val="0"/>
              <w:jc w:val="center"/>
              <w:rPr>
                <w:rFonts w:ascii="仿宋" w:hAnsi="仿宋" w:eastAsia="仿宋"/>
                <w:sz w:val="24"/>
              </w:rPr>
            </w:pPr>
            <w:r>
              <w:rPr>
                <w:rFonts w:hint="eastAsia" w:ascii="仿宋" w:hAnsi="仿宋" w:eastAsia="仿宋"/>
                <w:sz w:val="24"/>
              </w:rPr>
              <w:t xml:space="preserve">□是 </w:t>
            </w:r>
            <w:r>
              <w:rPr>
                <w:rFonts w:ascii="仿宋" w:hAnsi="仿宋" w:eastAsia="仿宋"/>
                <w:sz w:val="24"/>
              </w:rPr>
              <w:t xml:space="preserve">  </w:t>
            </w:r>
            <w:r>
              <w:rPr>
                <w:rFonts w:hint="eastAsia" w:ascii="仿宋" w:hAnsi="仿宋" w:eastAsia="仿宋"/>
                <w:sz w:val="24"/>
              </w:rPr>
              <w:t xml:space="preserve"> □否</w:t>
            </w:r>
          </w:p>
        </w:tc>
      </w:tr>
      <w:tr w14:paraId="2B04D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1930" w:type="dxa"/>
            <w:tcBorders>
              <w:top w:val="single" w:color="000000" w:sz="4" w:space="0"/>
              <w:left w:val="single" w:color="000000" w:sz="4" w:space="0"/>
              <w:bottom w:val="single" w:color="000000" w:sz="4" w:space="0"/>
              <w:right w:val="single" w:color="000000" w:sz="4" w:space="0"/>
            </w:tcBorders>
            <w:noWrap w:val="0"/>
            <w:vAlign w:val="center"/>
          </w:tcPr>
          <w:p w14:paraId="3757C71F">
            <w:pPr>
              <w:autoSpaceDE w:val="0"/>
              <w:adjustRightInd w:val="0"/>
              <w:snapToGrid w:val="0"/>
              <w:jc w:val="center"/>
              <w:rPr>
                <w:rFonts w:ascii="仿宋" w:hAnsi="仿宋" w:eastAsia="仿宋"/>
                <w:sz w:val="24"/>
              </w:rPr>
            </w:pPr>
            <w:r>
              <w:rPr>
                <w:rFonts w:hint="eastAsia" w:ascii="仿宋" w:hAnsi="仿宋" w:eastAsia="仿宋"/>
                <w:sz w:val="24"/>
              </w:rPr>
              <w:t>申请部门</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1A233DA0">
            <w:pPr>
              <w:autoSpaceDE w:val="0"/>
              <w:adjustRightInd w:val="0"/>
              <w:snapToGrid w:val="0"/>
              <w:jc w:val="center"/>
              <w:rPr>
                <w:rFonts w:ascii="仿宋" w:hAnsi="仿宋" w:eastAsia="仿宋"/>
                <w:sz w:val="24"/>
              </w:rPr>
            </w:pPr>
          </w:p>
        </w:tc>
        <w:tc>
          <w:tcPr>
            <w:tcW w:w="1756" w:type="dxa"/>
            <w:tcBorders>
              <w:top w:val="single" w:color="000000" w:sz="4" w:space="0"/>
              <w:left w:val="single" w:color="000000" w:sz="4" w:space="0"/>
              <w:bottom w:val="single" w:color="000000" w:sz="4" w:space="0"/>
              <w:right w:val="single" w:color="000000" w:sz="4" w:space="0"/>
            </w:tcBorders>
            <w:noWrap w:val="0"/>
            <w:vAlign w:val="center"/>
          </w:tcPr>
          <w:p w14:paraId="68548E48">
            <w:pPr>
              <w:autoSpaceDE w:val="0"/>
              <w:adjustRightInd w:val="0"/>
              <w:snapToGrid w:val="0"/>
              <w:jc w:val="center"/>
              <w:rPr>
                <w:rFonts w:ascii="仿宋" w:hAnsi="仿宋" w:eastAsia="仿宋"/>
                <w:sz w:val="24"/>
              </w:rPr>
            </w:pPr>
            <w:r>
              <w:rPr>
                <w:rFonts w:hint="eastAsia" w:ascii="仿宋" w:hAnsi="仿宋" w:eastAsia="仿宋"/>
                <w:sz w:val="24"/>
              </w:rPr>
              <w:t>经手人</w:t>
            </w:r>
          </w:p>
        </w:tc>
        <w:tc>
          <w:tcPr>
            <w:tcW w:w="1756" w:type="dxa"/>
            <w:gridSpan w:val="2"/>
            <w:tcBorders>
              <w:top w:val="single" w:color="000000" w:sz="4" w:space="0"/>
              <w:left w:val="single" w:color="000000" w:sz="4" w:space="0"/>
              <w:bottom w:val="single" w:color="000000" w:sz="4" w:space="0"/>
              <w:right w:val="single" w:color="000000" w:sz="4" w:space="0"/>
            </w:tcBorders>
            <w:noWrap w:val="0"/>
            <w:vAlign w:val="center"/>
          </w:tcPr>
          <w:p w14:paraId="17B15930">
            <w:pPr>
              <w:autoSpaceDE w:val="0"/>
              <w:adjustRightInd w:val="0"/>
              <w:snapToGrid w:val="0"/>
              <w:jc w:val="center"/>
              <w:rPr>
                <w:rFonts w:ascii="仿宋" w:hAnsi="仿宋" w:eastAsia="仿宋"/>
                <w:sz w:val="24"/>
              </w:rPr>
            </w:pPr>
          </w:p>
        </w:tc>
        <w:tc>
          <w:tcPr>
            <w:tcW w:w="1756" w:type="dxa"/>
            <w:tcBorders>
              <w:top w:val="single" w:color="000000" w:sz="4" w:space="0"/>
              <w:left w:val="single" w:color="000000" w:sz="4" w:space="0"/>
              <w:bottom w:val="single" w:color="000000" w:sz="4" w:space="0"/>
              <w:right w:val="single" w:color="000000" w:sz="4" w:space="0"/>
            </w:tcBorders>
            <w:noWrap w:val="0"/>
            <w:vAlign w:val="center"/>
          </w:tcPr>
          <w:p w14:paraId="5BFD9A2F">
            <w:pPr>
              <w:autoSpaceDE w:val="0"/>
              <w:adjustRightInd w:val="0"/>
              <w:snapToGrid w:val="0"/>
              <w:jc w:val="center"/>
              <w:rPr>
                <w:rFonts w:ascii="仿宋" w:hAnsi="仿宋" w:eastAsia="仿宋"/>
                <w:sz w:val="24"/>
              </w:rPr>
            </w:pPr>
            <w:r>
              <w:rPr>
                <w:rFonts w:hint="eastAsia" w:ascii="仿宋" w:hAnsi="仿宋" w:eastAsia="仿宋"/>
                <w:sz w:val="24"/>
              </w:rPr>
              <w:t>联系方式</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14:paraId="6827B243">
            <w:pPr>
              <w:autoSpaceDE w:val="0"/>
              <w:adjustRightInd w:val="0"/>
              <w:snapToGrid w:val="0"/>
              <w:jc w:val="center"/>
              <w:rPr>
                <w:rFonts w:ascii="仿宋" w:hAnsi="仿宋" w:eastAsia="仿宋"/>
                <w:sz w:val="24"/>
              </w:rPr>
            </w:pPr>
          </w:p>
        </w:tc>
      </w:tr>
      <w:tr w14:paraId="15181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atLeast"/>
          <w:jc w:val="center"/>
        </w:trPr>
        <w:tc>
          <w:tcPr>
            <w:tcW w:w="1930" w:type="dxa"/>
            <w:tcBorders>
              <w:top w:val="single" w:color="000000" w:sz="4" w:space="0"/>
              <w:left w:val="single" w:color="000000" w:sz="4" w:space="0"/>
              <w:bottom w:val="single" w:color="000000" w:sz="4" w:space="0"/>
              <w:right w:val="single" w:color="000000" w:sz="4" w:space="0"/>
            </w:tcBorders>
            <w:noWrap w:val="0"/>
            <w:vAlign w:val="center"/>
          </w:tcPr>
          <w:p w14:paraId="614DBAB3">
            <w:pPr>
              <w:autoSpaceDE w:val="0"/>
              <w:adjustRightInd w:val="0"/>
              <w:snapToGrid w:val="0"/>
              <w:jc w:val="center"/>
              <w:rPr>
                <w:rFonts w:ascii="仿宋" w:hAnsi="仿宋" w:eastAsia="仿宋"/>
                <w:sz w:val="24"/>
              </w:rPr>
            </w:pPr>
            <w:r>
              <w:rPr>
                <w:rFonts w:hint="eastAsia" w:ascii="仿宋" w:hAnsi="仿宋" w:eastAsia="仿宋"/>
                <w:sz w:val="24"/>
              </w:rPr>
              <w:t>申请部门负责人</w:t>
            </w:r>
          </w:p>
          <w:p w14:paraId="52F81DD3">
            <w:pPr>
              <w:autoSpaceDE w:val="0"/>
              <w:adjustRightInd w:val="0"/>
              <w:snapToGrid w:val="0"/>
              <w:jc w:val="center"/>
              <w:rPr>
                <w:rFonts w:ascii="仿宋" w:hAnsi="仿宋" w:eastAsia="仿宋"/>
                <w:sz w:val="24"/>
              </w:rPr>
            </w:pPr>
            <w:r>
              <w:rPr>
                <w:rFonts w:hint="eastAsia" w:ascii="仿宋" w:hAnsi="仿宋" w:eastAsia="仿宋"/>
                <w:sz w:val="24"/>
              </w:rPr>
              <w:t>意见</w:t>
            </w:r>
          </w:p>
        </w:tc>
        <w:tc>
          <w:tcPr>
            <w:tcW w:w="3338" w:type="dxa"/>
            <w:gridSpan w:val="2"/>
            <w:tcBorders>
              <w:top w:val="single" w:color="000000" w:sz="4" w:space="0"/>
              <w:left w:val="single" w:color="000000" w:sz="4" w:space="0"/>
              <w:bottom w:val="single" w:color="000000" w:sz="4" w:space="0"/>
              <w:right w:val="single" w:color="000000" w:sz="4" w:space="0"/>
            </w:tcBorders>
            <w:noWrap w:val="0"/>
            <w:vAlign w:val="center"/>
          </w:tcPr>
          <w:p w14:paraId="65CF861C">
            <w:pPr>
              <w:autoSpaceDE w:val="0"/>
              <w:adjustRightInd w:val="0"/>
              <w:snapToGrid w:val="0"/>
              <w:jc w:val="center"/>
              <w:rPr>
                <w:rFonts w:ascii="仿宋" w:hAnsi="仿宋" w:eastAsia="仿宋"/>
                <w:sz w:val="24"/>
              </w:rPr>
            </w:pPr>
          </w:p>
        </w:tc>
        <w:tc>
          <w:tcPr>
            <w:tcW w:w="1756" w:type="dxa"/>
            <w:gridSpan w:val="2"/>
            <w:tcBorders>
              <w:top w:val="single" w:color="000000" w:sz="4" w:space="0"/>
              <w:left w:val="single" w:color="000000" w:sz="4" w:space="0"/>
              <w:bottom w:val="single" w:color="000000" w:sz="4" w:space="0"/>
              <w:right w:val="single" w:color="000000" w:sz="4" w:space="0"/>
            </w:tcBorders>
            <w:noWrap w:val="0"/>
            <w:vAlign w:val="center"/>
          </w:tcPr>
          <w:p w14:paraId="3607C119">
            <w:pPr>
              <w:autoSpaceDE w:val="0"/>
              <w:adjustRightInd w:val="0"/>
              <w:snapToGrid w:val="0"/>
              <w:jc w:val="center"/>
              <w:rPr>
                <w:rFonts w:ascii="仿宋" w:hAnsi="仿宋" w:eastAsia="仿宋"/>
                <w:sz w:val="24"/>
              </w:rPr>
            </w:pPr>
            <w:r>
              <w:rPr>
                <w:rFonts w:hint="eastAsia" w:ascii="仿宋" w:hAnsi="仿宋" w:eastAsia="仿宋"/>
                <w:sz w:val="24"/>
              </w:rPr>
              <w:t>财务部意见（资金来源）</w:t>
            </w:r>
          </w:p>
        </w:tc>
        <w:tc>
          <w:tcPr>
            <w:tcW w:w="3513" w:type="dxa"/>
            <w:gridSpan w:val="2"/>
            <w:tcBorders>
              <w:top w:val="single" w:color="000000" w:sz="4" w:space="0"/>
              <w:left w:val="single" w:color="000000" w:sz="4" w:space="0"/>
              <w:bottom w:val="single" w:color="000000" w:sz="4" w:space="0"/>
              <w:right w:val="single" w:color="000000" w:sz="4" w:space="0"/>
            </w:tcBorders>
            <w:noWrap w:val="0"/>
            <w:vAlign w:val="center"/>
          </w:tcPr>
          <w:p w14:paraId="0300CFC8">
            <w:pPr>
              <w:autoSpaceDE w:val="0"/>
              <w:adjustRightInd w:val="0"/>
              <w:snapToGrid w:val="0"/>
              <w:jc w:val="center"/>
              <w:rPr>
                <w:rFonts w:ascii="仿宋" w:hAnsi="仿宋" w:eastAsia="仿宋"/>
                <w:sz w:val="24"/>
              </w:rPr>
            </w:pPr>
          </w:p>
        </w:tc>
      </w:tr>
      <w:tr w14:paraId="56A38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jc w:val="center"/>
        </w:trPr>
        <w:tc>
          <w:tcPr>
            <w:tcW w:w="1930" w:type="dxa"/>
            <w:tcBorders>
              <w:top w:val="single" w:color="000000" w:sz="4" w:space="0"/>
              <w:left w:val="single" w:color="000000" w:sz="4" w:space="0"/>
              <w:bottom w:val="single" w:color="000000" w:sz="4" w:space="0"/>
              <w:right w:val="single" w:color="000000" w:sz="4" w:space="0"/>
            </w:tcBorders>
            <w:noWrap w:val="0"/>
            <w:vAlign w:val="center"/>
          </w:tcPr>
          <w:p w14:paraId="41F78442">
            <w:pPr>
              <w:autoSpaceDE w:val="0"/>
              <w:adjustRightInd w:val="0"/>
              <w:snapToGrid w:val="0"/>
              <w:jc w:val="center"/>
              <w:rPr>
                <w:rFonts w:ascii="仿宋" w:hAnsi="仿宋" w:eastAsia="仿宋"/>
                <w:sz w:val="24"/>
              </w:rPr>
            </w:pPr>
            <w:r>
              <w:rPr>
                <w:rFonts w:hint="eastAsia" w:ascii="仿宋" w:hAnsi="仿宋" w:eastAsia="仿宋"/>
                <w:sz w:val="24"/>
              </w:rPr>
              <w:t>分管财务副院长</w:t>
            </w:r>
          </w:p>
          <w:p w14:paraId="77CA1D96">
            <w:pPr>
              <w:autoSpaceDE w:val="0"/>
              <w:adjustRightInd w:val="0"/>
              <w:snapToGrid w:val="0"/>
              <w:jc w:val="center"/>
              <w:rPr>
                <w:rFonts w:ascii="仿宋" w:hAnsi="仿宋" w:eastAsia="仿宋"/>
                <w:sz w:val="24"/>
              </w:rPr>
            </w:pPr>
            <w:r>
              <w:rPr>
                <w:rFonts w:hint="eastAsia" w:ascii="仿宋" w:hAnsi="仿宋" w:eastAsia="仿宋"/>
                <w:sz w:val="24"/>
              </w:rPr>
              <w:t>意见</w:t>
            </w:r>
          </w:p>
        </w:tc>
        <w:tc>
          <w:tcPr>
            <w:tcW w:w="3338" w:type="dxa"/>
            <w:gridSpan w:val="2"/>
            <w:tcBorders>
              <w:top w:val="single" w:color="000000" w:sz="4" w:space="0"/>
              <w:left w:val="single" w:color="000000" w:sz="4" w:space="0"/>
              <w:bottom w:val="single" w:color="000000" w:sz="4" w:space="0"/>
              <w:right w:val="single" w:color="000000" w:sz="4" w:space="0"/>
            </w:tcBorders>
            <w:noWrap w:val="0"/>
            <w:vAlign w:val="center"/>
          </w:tcPr>
          <w:p w14:paraId="7E494A2F">
            <w:pPr>
              <w:autoSpaceDE w:val="0"/>
              <w:adjustRightInd w:val="0"/>
              <w:snapToGrid w:val="0"/>
              <w:jc w:val="center"/>
              <w:rPr>
                <w:rFonts w:ascii="仿宋" w:hAnsi="仿宋" w:eastAsia="仿宋"/>
                <w:sz w:val="24"/>
              </w:rPr>
            </w:pPr>
          </w:p>
        </w:tc>
        <w:tc>
          <w:tcPr>
            <w:tcW w:w="1756" w:type="dxa"/>
            <w:gridSpan w:val="2"/>
            <w:tcBorders>
              <w:top w:val="single" w:color="000000" w:sz="4" w:space="0"/>
              <w:left w:val="single" w:color="000000" w:sz="4" w:space="0"/>
              <w:bottom w:val="single" w:color="000000" w:sz="4" w:space="0"/>
              <w:right w:val="single" w:color="000000" w:sz="4" w:space="0"/>
            </w:tcBorders>
            <w:noWrap w:val="0"/>
            <w:vAlign w:val="center"/>
          </w:tcPr>
          <w:p w14:paraId="45AB1800">
            <w:pPr>
              <w:autoSpaceDE w:val="0"/>
              <w:adjustRightInd w:val="0"/>
              <w:snapToGrid w:val="0"/>
              <w:jc w:val="center"/>
              <w:rPr>
                <w:rFonts w:ascii="仿宋" w:hAnsi="仿宋" w:eastAsia="仿宋"/>
                <w:sz w:val="24"/>
              </w:rPr>
            </w:pPr>
            <w:r>
              <w:rPr>
                <w:rFonts w:hint="eastAsia" w:ascii="仿宋" w:hAnsi="仿宋" w:eastAsia="仿宋"/>
                <w:sz w:val="24"/>
              </w:rPr>
              <w:t>专家论证</w:t>
            </w:r>
          </w:p>
          <w:p w14:paraId="518806F8">
            <w:pPr>
              <w:autoSpaceDE w:val="0"/>
              <w:adjustRightInd w:val="0"/>
              <w:snapToGrid w:val="0"/>
              <w:jc w:val="center"/>
              <w:rPr>
                <w:rFonts w:ascii="仿宋" w:hAnsi="仿宋" w:eastAsia="仿宋"/>
                <w:sz w:val="24"/>
              </w:rPr>
            </w:pPr>
            <w:r>
              <w:rPr>
                <w:rFonts w:hint="eastAsia" w:ascii="仿宋" w:hAnsi="仿宋" w:eastAsia="仿宋"/>
                <w:sz w:val="24"/>
              </w:rPr>
              <w:t>意见</w:t>
            </w:r>
          </w:p>
        </w:tc>
        <w:tc>
          <w:tcPr>
            <w:tcW w:w="3513" w:type="dxa"/>
            <w:gridSpan w:val="2"/>
            <w:tcBorders>
              <w:top w:val="single" w:color="000000" w:sz="4" w:space="0"/>
              <w:left w:val="single" w:color="000000" w:sz="4" w:space="0"/>
              <w:bottom w:val="single" w:color="000000" w:sz="4" w:space="0"/>
              <w:right w:val="single" w:color="000000" w:sz="4" w:space="0"/>
            </w:tcBorders>
            <w:noWrap w:val="0"/>
            <w:vAlign w:val="center"/>
          </w:tcPr>
          <w:p w14:paraId="4CAD7FFB">
            <w:pPr>
              <w:autoSpaceDE w:val="0"/>
              <w:adjustRightInd w:val="0"/>
              <w:snapToGrid w:val="0"/>
              <w:jc w:val="center"/>
              <w:rPr>
                <w:rFonts w:ascii="仿宋" w:hAnsi="仿宋" w:eastAsia="仿宋"/>
                <w:sz w:val="24"/>
              </w:rPr>
            </w:pPr>
          </w:p>
        </w:tc>
      </w:tr>
      <w:tr w14:paraId="66DD5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5" w:hRule="atLeast"/>
          <w:jc w:val="center"/>
        </w:trPr>
        <w:tc>
          <w:tcPr>
            <w:tcW w:w="1930" w:type="dxa"/>
            <w:tcBorders>
              <w:top w:val="single" w:color="000000" w:sz="4" w:space="0"/>
              <w:left w:val="single" w:color="000000" w:sz="4" w:space="0"/>
              <w:bottom w:val="single" w:color="000000" w:sz="4" w:space="0"/>
              <w:right w:val="single" w:color="000000" w:sz="4" w:space="0"/>
            </w:tcBorders>
            <w:noWrap w:val="0"/>
            <w:vAlign w:val="center"/>
          </w:tcPr>
          <w:p w14:paraId="5036993B">
            <w:pPr>
              <w:autoSpaceDE w:val="0"/>
              <w:adjustRightInd w:val="0"/>
              <w:snapToGrid w:val="0"/>
              <w:jc w:val="center"/>
              <w:rPr>
                <w:rFonts w:ascii="仿宋" w:hAnsi="仿宋" w:eastAsia="仿宋"/>
                <w:sz w:val="24"/>
              </w:rPr>
            </w:pPr>
            <w:r>
              <w:rPr>
                <w:rFonts w:hint="eastAsia" w:ascii="仿宋" w:hAnsi="仿宋" w:eastAsia="仿宋"/>
                <w:sz w:val="24"/>
              </w:rPr>
              <w:t>分管院领导</w:t>
            </w:r>
          </w:p>
          <w:p w14:paraId="5DF81493">
            <w:pPr>
              <w:autoSpaceDE w:val="0"/>
              <w:adjustRightInd w:val="0"/>
              <w:snapToGrid w:val="0"/>
              <w:jc w:val="center"/>
              <w:rPr>
                <w:rFonts w:ascii="仿宋" w:hAnsi="仿宋" w:eastAsia="仿宋"/>
                <w:sz w:val="24"/>
              </w:rPr>
            </w:pPr>
            <w:r>
              <w:rPr>
                <w:rFonts w:hint="eastAsia" w:ascii="仿宋" w:hAnsi="仿宋" w:eastAsia="仿宋"/>
                <w:sz w:val="24"/>
              </w:rPr>
              <w:t>意见</w:t>
            </w:r>
          </w:p>
        </w:tc>
        <w:tc>
          <w:tcPr>
            <w:tcW w:w="3347" w:type="dxa"/>
            <w:gridSpan w:val="3"/>
            <w:tcBorders>
              <w:top w:val="single" w:color="000000" w:sz="4" w:space="0"/>
              <w:left w:val="single" w:color="000000" w:sz="4" w:space="0"/>
              <w:bottom w:val="single" w:color="000000" w:sz="4" w:space="0"/>
              <w:right w:val="single" w:color="000000" w:sz="4" w:space="0"/>
            </w:tcBorders>
            <w:noWrap w:val="0"/>
            <w:vAlign w:val="center"/>
          </w:tcPr>
          <w:p w14:paraId="5ED98482">
            <w:pPr>
              <w:autoSpaceDE w:val="0"/>
              <w:adjustRightInd w:val="0"/>
              <w:snapToGrid w:val="0"/>
              <w:jc w:val="center"/>
              <w:rPr>
                <w:rFonts w:ascii="仿宋" w:hAnsi="仿宋" w:eastAsia="仿宋"/>
                <w:sz w:val="24"/>
              </w:rPr>
            </w:pP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24372AF">
            <w:pPr>
              <w:autoSpaceDE w:val="0"/>
              <w:adjustRightInd w:val="0"/>
              <w:snapToGrid w:val="0"/>
              <w:jc w:val="center"/>
              <w:rPr>
                <w:rFonts w:ascii="仿宋" w:hAnsi="仿宋" w:eastAsia="仿宋"/>
                <w:sz w:val="24"/>
              </w:rPr>
            </w:pPr>
            <w:r>
              <w:rPr>
                <w:rFonts w:hint="eastAsia" w:ascii="仿宋" w:hAnsi="仿宋" w:eastAsia="仿宋"/>
                <w:sz w:val="24"/>
              </w:rPr>
              <w:t>常务副院长</w:t>
            </w:r>
          </w:p>
          <w:p w14:paraId="16610D14">
            <w:pPr>
              <w:autoSpaceDE w:val="0"/>
              <w:adjustRightInd w:val="0"/>
              <w:snapToGrid w:val="0"/>
              <w:jc w:val="center"/>
              <w:rPr>
                <w:rFonts w:ascii="仿宋" w:hAnsi="仿宋" w:eastAsia="仿宋"/>
                <w:sz w:val="24"/>
              </w:rPr>
            </w:pPr>
            <w:r>
              <w:rPr>
                <w:rFonts w:hint="eastAsia" w:ascii="仿宋" w:hAnsi="仿宋" w:eastAsia="仿宋"/>
                <w:sz w:val="24"/>
              </w:rPr>
              <w:t>意见</w:t>
            </w:r>
          </w:p>
        </w:tc>
        <w:tc>
          <w:tcPr>
            <w:tcW w:w="3508" w:type="dxa"/>
            <w:gridSpan w:val="2"/>
            <w:tcBorders>
              <w:top w:val="single" w:color="000000" w:sz="4" w:space="0"/>
              <w:left w:val="single" w:color="000000" w:sz="4" w:space="0"/>
              <w:bottom w:val="single" w:color="000000" w:sz="4" w:space="0"/>
              <w:right w:val="single" w:color="000000" w:sz="4" w:space="0"/>
            </w:tcBorders>
            <w:noWrap w:val="0"/>
            <w:vAlign w:val="center"/>
          </w:tcPr>
          <w:p w14:paraId="2C03FDF7">
            <w:pPr>
              <w:autoSpaceDE w:val="0"/>
              <w:adjustRightInd w:val="0"/>
              <w:snapToGrid w:val="0"/>
              <w:jc w:val="center"/>
              <w:rPr>
                <w:rFonts w:ascii="仿宋" w:hAnsi="仿宋" w:eastAsia="仿宋"/>
                <w:sz w:val="24"/>
              </w:rPr>
            </w:pPr>
          </w:p>
        </w:tc>
      </w:tr>
      <w:tr w14:paraId="4A8AA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atLeast"/>
          <w:jc w:val="center"/>
        </w:trPr>
        <w:tc>
          <w:tcPr>
            <w:tcW w:w="1930" w:type="dxa"/>
            <w:tcBorders>
              <w:top w:val="single" w:color="000000" w:sz="4" w:space="0"/>
              <w:left w:val="single" w:color="000000" w:sz="4" w:space="0"/>
              <w:bottom w:val="single" w:color="000000" w:sz="4" w:space="0"/>
              <w:right w:val="single" w:color="000000" w:sz="4" w:space="0"/>
            </w:tcBorders>
            <w:noWrap w:val="0"/>
            <w:vAlign w:val="center"/>
          </w:tcPr>
          <w:p w14:paraId="0C9746AD">
            <w:pPr>
              <w:autoSpaceDE w:val="0"/>
              <w:adjustRightInd w:val="0"/>
              <w:snapToGrid w:val="0"/>
              <w:jc w:val="center"/>
              <w:rPr>
                <w:rFonts w:ascii="仿宋" w:hAnsi="仿宋" w:eastAsia="仿宋"/>
                <w:sz w:val="24"/>
              </w:rPr>
            </w:pPr>
            <w:r>
              <w:rPr>
                <w:rFonts w:hint="eastAsia" w:ascii="仿宋" w:hAnsi="仿宋" w:eastAsia="仿宋"/>
                <w:sz w:val="24"/>
              </w:rPr>
              <w:t>院长批示或</w:t>
            </w:r>
          </w:p>
          <w:p w14:paraId="010DC1AD">
            <w:pPr>
              <w:autoSpaceDE w:val="0"/>
              <w:adjustRightInd w:val="0"/>
              <w:snapToGrid w:val="0"/>
              <w:jc w:val="center"/>
              <w:rPr>
                <w:rFonts w:ascii="仿宋" w:hAnsi="仿宋" w:eastAsia="仿宋"/>
                <w:sz w:val="24"/>
              </w:rPr>
            </w:pPr>
            <w:r>
              <w:rPr>
                <w:rFonts w:hint="eastAsia" w:ascii="仿宋" w:hAnsi="仿宋" w:eastAsia="仿宋"/>
                <w:sz w:val="24"/>
              </w:rPr>
              <w:t>院务会纪要</w:t>
            </w:r>
          </w:p>
        </w:tc>
        <w:tc>
          <w:tcPr>
            <w:tcW w:w="8607" w:type="dxa"/>
            <w:gridSpan w:val="6"/>
            <w:tcBorders>
              <w:top w:val="single" w:color="000000" w:sz="4" w:space="0"/>
              <w:left w:val="single" w:color="000000" w:sz="4" w:space="0"/>
              <w:bottom w:val="single" w:color="000000" w:sz="4" w:space="0"/>
              <w:right w:val="single" w:color="000000" w:sz="4" w:space="0"/>
            </w:tcBorders>
            <w:noWrap w:val="0"/>
            <w:vAlign w:val="center"/>
          </w:tcPr>
          <w:p w14:paraId="315908A3">
            <w:pPr>
              <w:autoSpaceDE w:val="0"/>
              <w:adjustRightInd w:val="0"/>
              <w:snapToGrid w:val="0"/>
              <w:jc w:val="center"/>
              <w:rPr>
                <w:rFonts w:ascii="仿宋" w:hAnsi="仿宋" w:eastAsia="仿宋"/>
                <w:sz w:val="24"/>
              </w:rPr>
            </w:pPr>
          </w:p>
        </w:tc>
      </w:tr>
      <w:tr w14:paraId="3BD6E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930" w:type="dxa"/>
            <w:tcBorders>
              <w:top w:val="single" w:color="000000" w:sz="4" w:space="0"/>
              <w:left w:val="single" w:color="000000" w:sz="4" w:space="0"/>
              <w:bottom w:val="single" w:color="000000" w:sz="4" w:space="0"/>
              <w:right w:val="single" w:color="000000" w:sz="4" w:space="0"/>
            </w:tcBorders>
            <w:noWrap w:val="0"/>
            <w:vAlign w:val="center"/>
          </w:tcPr>
          <w:p w14:paraId="5E015FE3">
            <w:pPr>
              <w:autoSpaceDE w:val="0"/>
              <w:adjustRightInd w:val="0"/>
              <w:snapToGrid w:val="0"/>
              <w:jc w:val="center"/>
              <w:rPr>
                <w:rFonts w:ascii="仿宋" w:hAnsi="仿宋" w:eastAsia="仿宋"/>
                <w:sz w:val="24"/>
              </w:rPr>
            </w:pPr>
            <w:r>
              <w:rPr>
                <w:rFonts w:hint="eastAsia" w:ascii="仿宋" w:hAnsi="仿宋" w:eastAsia="仿宋"/>
                <w:sz w:val="24"/>
              </w:rPr>
              <w:t>招投标与</w:t>
            </w:r>
          </w:p>
          <w:p w14:paraId="12073CFA">
            <w:pPr>
              <w:autoSpaceDE w:val="0"/>
              <w:adjustRightInd w:val="0"/>
              <w:snapToGrid w:val="0"/>
              <w:jc w:val="center"/>
              <w:rPr>
                <w:rFonts w:ascii="仿宋" w:hAnsi="仿宋" w:eastAsia="仿宋"/>
                <w:sz w:val="24"/>
              </w:rPr>
            </w:pPr>
            <w:r>
              <w:rPr>
                <w:rFonts w:hint="eastAsia" w:ascii="仿宋" w:hAnsi="仿宋" w:eastAsia="仿宋"/>
                <w:sz w:val="24"/>
              </w:rPr>
              <w:t>集中采购部</w:t>
            </w:r>
          </w:p>
        </w:tc>
        <w:tc>
          <w:tcPr>
            <w:tcW w:w="8607" w:type="dxa"/>
            <w:gridSpan w:val="6"/>
            <w:tcBorders>
              <w:top w:val="single" w:color="000000" w:sz="4" w:space="0"/>
              <w:left w:val="single" w:color="000000" w:sz="4" w:space="0"/>
              <w:bottom w:val="single" w:color="000000" w:sz="4" w:space="0"/>
              <w:right w:val="single" w:color="000000" w:sz="4" w:space="0"/>
            </w:tcBorders>
            <w:noWrap w:val="0"/>
            <w:vAlign w:val="center"/>
          </w:tcPr>
          <w:p w14:paraId="539F6252">
            <w:pPr>
              <w:autoSpaceDE w:val="0"/>
              <w:adjustRightInd w:val="0"/>
              <w:snapToGrid w:val="0"/>
              <w:jc w:val="center"/>
              <w:rPr>
                <w:rFonts w:ascii="仿宋" w:hAnsi="仿宋" w:eastAsia="仿宋"/>
                <w:sz w:val="24"/>
              </w:rPr>
            </w:pPr>
          </w:p>
        </w:tc>
      </w:tr>
      <w:tr w14:paraId="03398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jc w:val="center"/>
        </w:trPr>
        <w:tc>
          <w:tcPr>
            <w:tcW w:w="1930" w:type="dxa"/>
            <w:tcBorders>
              <w:top w:val="single" w:color="000000" w:sz="4" w:space="0"/>
              <w:left w:val="single" w:color="000000" w:sz="4" w:space="0"/>
              <w:bottom w:val="single" w:color="000000" w:sz="4" w:space="0"/>
              <w:right w:val="single" w:color="000000" w:sz="4" w:space="0"/>
            </w:tcBorders>
            <w:noWrap w:val="0"/>
            <w:vAlign w:val="center"/>
          </w:tcPr>
          <w:p w14:paraId="5B2B684E">
            <w:pPr>
              <w:autoSpaceDE w:val="0"/>
              <w:jc w:val="center"/>
              <w:rPr>
                <w:rFonts w:ascii="仿宋" w:hAnsi="仿宋" w:eastAsia="仿宋"/>
                <w:sz w:val="24"/>
              </w:rPr>
            </w:pPr>
            <w:r>
              <w:rPr>
                <w:rFonts w:hint="eastAsia" w:ascii="仿宋" w:hAnsi="仿宋" w:eastAsia="仿宋"/>
                <w:sz w:val="24"/>
              </w:rPr>
              <w:t>备注</w:t>
            </w:r>
          </w:p>
        </w:tc>
        <w:tc>
          <w:tcPr>
            <w:tcW w:w="8607" w:type="dxa"/>
            <w:gridSpan w:val="6"/>
            <w:tcBorders>
              <w:top w:val="single" w:color="000000" w:sz="4" w:space="0"/>
              <w:left w:val="single" w:color="000000" w:sz="4" w:space="0"/>
              <w:bottom w:val="single" w:color="000000" w:sz="4" w:space="0"/>
              <w:right w:val="single" w:color="000000" w:sz="4" w:space="0"/>
            </w:tcBorders>
            <w:noWrap w:val="0"/>
            <w:vAlign w:val="center"/>
          </w:tcPr>
          <w:p w14:paraId="1C1EB29C">
            <w:pPr>
              <w:autoSpaceDE w:val="0"/>
              <w:jc w:val="center"/>
              <w:rPr>
                <w:rFonts w:ascii="仿宋" w:hAnsi="仿宋" w:eastAsia="仿宋"/>
                <w:sz w:val="24"/>
              </w:rPr>
            </w:pPr>
          </w:p>
        </w:tc>
      </w:tr>
    </w:tbl>
    <w:p w14:paraId="5DF04C5C">
      <w:pPr>
        <w:widowControl/>
        <w:snapToGrid w:val="0"/>
        <w:jc w:val="left"/>
        <w:textAlignment w:val="center"/>
        <w:rPr>
          <w:rFonts w:hint="eastAsia" w:ascii="仿宋" w:hAnsi="仿宋" w:eastAsia="仿宋" w:cs="楷体_GB2312"/>
          <w:sz w:val="21"/>
          <w:szCs w:val="21"/>
        </w:rPr>
      </w:pPr>
      <w:r>
        <w:rPr>
          <w:rFonts w:hint="eastAsia" w:ascii="仿宋" w:hAnsi="仿宋" w:eastAsia="仿宋" w:cs="楷体_GB2312"/>
          <w:kern w:val="0"/>
          <w:sz w:val="24"/>
        </w:rPr>
        <w:t>注意事项：1.预算金额三万以上包含三万的项目，请填写招标项目申请表。</w:t>
      </w:r>
    </w:p>
    <w:p w14:paraId="1C91BD2D">
      <w:pPr>
        <w:snapToGrid w:val="0"/>
        <w:ind w:left="1185"/>
        <w:rPr>
          <w:rFonts w:hint="eastAsia" w:ascii="仿宋" w:hAnsi="仿宋" w:eastAsia="仿宋" w:cs="楷体_GB2312"/>
          <w:kern w:val="0"/>
          <w:sz w:val="24"/>
        </w:rPr>
      </w:pPr>
      <w:r>
        <w:rPr>
          <w:rFonts w:hint="eastAsia" w:ascii="仿宋" w:hAnsi="仿宋" w:eastAsia="仿宋" w:cs="楷体_GB2312"/>
          <w:kern w:val="0"/>
          <w:sz w:val="24"/>
        </w:rPr>
        <w:t>2.预算金额三万以内的项目，请填写物资设备申购单。</w:t>
      </w:r>
    </w:p>
    <w:p w14:paraId="0DBB1133">
      <w:pPr>
        <w:widowControl/>
        <w:adjustRightInd w:val="0"/>
        <w:snapToGrid w:val="0"/>
        <w:spacing w:line="597" w:lineRule="exact"/>
        <w:jc w:val="left"/>
        <w:rPr>
          <w:rFonts w:hint="eastAsia" w:ascii="仿宋_GB2312" w:hAnsi="宋体"/>
          <w:b/>
          <w:bCs/>
          <w:szCs w:val="32"/>
        </w:rPr>
      </w:pPr>
      <w:r>
        <w:rPr>
          <w:rFonts w:ascii="黑体" w:hAnsi="黑体" w:eastAsia="黑体" w:cs="黑体"/>
          <w:szCs w:val="32"/>
        </w:rPr>
        <w:br w:type="page" w:clear="all"/>
      </w:r>
      <w:r>
        <w:rPr>
          <w:rFonts w:hint="eastAsia" w:ascii="黑体" w:hAnsi="黑体" w:eastAsia="黑体" w:cs="黑体"/>
          <w:szCs w:val="32"/>
        </w:rPr>
        <w:t xml:space="preserve">附件2    </w:t>
      </w:r>
      <w:r>
        <w:rPr>
          <w:rFonts w:hint="eastAsia" w:ascii="仿宋_GB2312" w:hAnsi="宋体"/>
          <w:b/>
          <w:bCs/>
          <w:szCs w:val="32"/>
        </w:rPr>
        <w:t xml:space="preserve">      </w:t>
      </w:r>
    </w:p>
    <w:p w14:paraId="5FB32555">
      <w:pPr>
        <w:widowControl/>
        <w:adjustRightInd w:val="0"/>
        <w:snapToGrid w:val="0"/>
        <w:jc w:val="center"/>
        <w:rPr>
          <w:rFonts w:hint="eastAsia"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 w:val="44"/>
          <w:szCs w:val="44"/>
        </w:rPr>
        <w:t>新乡医学院三全学院物资设备申购单</w:t>
      </w:r>
    </w:p>
    <w:tbl>
      <w:tblPr>
        <w:tblStyle w:val="28"/>
        <w:tblW w:w="105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25"/>
        <w:gridCol w:w="2343"/>
        <w:gridCol w:w="2213"/>
        <w:gridCol w:w="3056"/>
      </w:tblGrid>
      <w:tr w14:paraId="37430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2925" w:type="dxa"/>
            <w:tcBorders>
              <w:top w:val="single" w:color="000000" w:sz="4" w:space="0"/>
              <w:left w:val="single" w:color="000000" w:sz="4" w:space="0"/>
              <w:bottom w:val="single" w:color="000000" w:sz="4" w:space="0"/>
              <w:right w:val="single" w:color="000000" w:sz="4" w:space="0"/>
            </w:tcBorders>
            <w:noWrap w:val="0"/>
            <w:vAlign w:val="center"/>
          </w:tcPr>
          <w:p w14:paraId="71BDFD58">
            <w:pPr>
              <w:autoSpaceDE w:val="0"/>
              <w:jc w:val="center"/>
              <w:rPr>
                <w:rFonts w:ascii="仿宋" w:hAnsi="仿宋" w:eastAsia="仿宋"/>
                <w:sz w:val="24"/>
              </w:rPr>
            </w:pPr>
            <w:r>
              <w:rPr>
                <w:rFonts w:hint="eastAsia" w:ascii="仿宋" w:hAnsi="仿宋" w:eastAsia="仿宋"/>
                <w:sz w:val="24"/>
              </w:rPr>
              <w:t>请购事由</w:t>
            </w:r>
          </w:p>
        </w:tc>
        <w:tc>
          <w:tcPr>
            <w:tcW w:w="7612" w:type="dxa"/>
            <w:gridSpan w:val="3"/>
            <w:tcBorders>
              <w:top w:val="single" w:color="000000" w:sz="4" w:space="0"/>
              <w:left w:val="single" w:color="000000" w:sz="4" w:space="0"/>
              <w:bottom w:val="single" w:color="000000" w:sz="4" w:space="0"/>
              <w:right w:val="single" w:color="000000" w:sz="4" w:space="0"/>
            </w:tcBorders>
            <w:noWrap w:val="0"/>
            <w:vAlign w:val="center"/>
          </w:tcPr>
          <w:p w14:paraId="7D739232">
            <w:pPr>
              <w:autoSpaceDE w:val="0"/>
              <w:jc w:val="center"/>
              <w:rPr>
                <w:rFonts w:ascii="仿宋" w:hAnsi="仿宋" w:eastAsia="仿宋"/>
                <w:sz w:val="24"/>
              </w:rPr>
            </w:pPr>
          </w:p>
        </w:tc>
      </w:tr>
      <w:tr w14:paraId="160FA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0" w:hRule="atLeast"/>
          <w:jc w:val="center"/>
        </w:trPr>
        <w:tc>
          <w:tcPr>
            <w:tcW w:w="2925" w:type="dxa"/>
            <w:vMerge w:val="restart"/>
            <w:tcBorders>
              <w:top w:val="nil"/>
              <w:left w:val="single" w:color="000000" w:sz="4" w:space="0"/>
              <w:bottom w:val="single" w:color="000000" w:sz="4" w:space="0"/>
              <w:right w:val="single" w:color="000000" w:sz="4" w:space="0"/>
            </w:tcBorders>
            <w:noWrap w:val="0"/>
            <w:vAlign w:val="center"/>
          </w:tcPr>
          <w:p w14:paraId="6CDC73D7">
            <w:pPr>
              <w:autoSpaceDE w:val="0"/>
              <w:jc w:val="center"/>
              <w:rPr>
                <w:rFonts w:ascii="仿宋" w:hAnsi="仿宋" w:eastAsia="仿宋"/>
                <w:sz w:val="24"/>
              </w:rPr>
            </w:pPr>
            <w:r>
              <w:rPr>
                <w:rFonts w:hint="eastAsia" w:ascii="仿宋" w:hAnsi="仿宋" w:eastAsia="仿宋"/>
                <w:sz w:val="24"/>
              </w:rPr>
              <w:t>预算项目</w:t>
            </w:r>
          </w:p>
        </w:tc>
        <w:tc>
          <w:tcPr>
            <w:tcW w:w="2343" w:type="dxa"/>
            <w:tcBorders>
              <w:top w:val="single" w:color="000000" w:sz="4" w:space="0"/>
              <w:left w:val="single" w:color="000000" w:sz="4" w:space="0"/>
              <w:bottom w:val="single" w:color="000000" w:sz="4" w:space="0"/>
              <w:right w:val="single" w:color="000000" w:sz="4" w:space="0"/>
            </w:tcBorders>
            <w:noWrap w:val="0"/>
            <w:vAlign w:val="center"/>
          </w:tcPr>
          <w:p w14:paraId="2CA059DA">
            <w:pPr>
              <w:autoSpaceDE w:val="0"/>
              <w:jc w:val="center"/>
              <w:rPr>
                <w:rFonts w:ascii="仿宋" w:hAnsi="仿宋" w:eastAsia="仿宋"/>
                <w:sz w:val="24"/>
              </w:rPr>
            </w:pPr>
            <w:r>
              <w:rPr>
                <w:rFonts w:hint="eastAsia" w:ascii="仿宋" w:hAnsi="仿宋" w:eastAsia="仿宋"/>
                <w:sz w:val="24"/>
              </w:rPr>
              <w:t>预算内</w:t>
            </w:r>
          </w:p>
        </w:tc>
        <w:tc>
          <w:tcPr>
            <w:tcW w:w="5269" w:type="dxa"/>
            <w:gridSpan w:val="2"/>
            <w:tcBorders>
              <w:top w:val="single" w:color="000000" w:sz="4" w:space="0"/>
              <w:left w:val="single" w:color="000000" w:sz="4" w:space="0"/>
              <w:bottom w:val="single" w:color="000000" w:sz="4" w:space="0"/>
              <w:right w:val="single" w:color="000000" w:sz="4" w:space="0"/>
            </w:tcBorders>
            <w:noWrap w:val="0"/>
            <w:vAlign w:val="center"/>
          </w:tcPr>
          <w:p w14:paraId="0BA39C7A">
            <w:pPr>
              <w:autoSpaceDE w:val="0"/>
              <w:jc w:val="center"/>
              <w:rPr>
                <w:rFonts w:ascii="仿宋" w:hAnsi="仿宋" w:eastAsia="仿宋"/>
                <w:sz w:val="24"/>
              </w:rPr>
            </w:pPr>
          </w:p>
        </w:tc>
      </w:tr>
      <w:tr w14:paraId="79C70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49"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14:paraId="1BEF7C55">
            <w:pPr>
              <w:widowControl/>
              <w:jc w:val="left"/>
              <w:rPr>
                <w:rFonts w:ascii="仿宋" w:hAnsi="仿宋" w:eastAsia="仿宋"/>
                <w:sz w:val="24"/>
              </w:rPr>
            </w:pPr>
          </w:p>
        </w:tc>
        <w:tc>
          <w:tcPr>
            <w:tcW w:w="2343" w:type="dxa"/>
            <w:tcBorders>
              <w:top w:val="single" w:color="000000" w:sz="4" w:space="0"/>
              <w:left w:val="single" w:color="000000" w:sz="4" w:space="0"/>
              <w:bottom w:val="single" w:color="000000" w:sz="4" w:space="0"/>
              <w:right w:val="single" w:color="000000" w:sz="4" w:space="0"/>
            </w:tcBorders>
            <w:noWrap w:val="0"/>
            <w:vAlign w:val="center"/>
          </w:tcPr>
          <w:p w14:paraId="5DE45B74">
            <w:pPr>
              <w:autoSpaceDE w:val="0"/>
              <w:jc w:val="center"/>
              <w:rPr>
                <w:rFonts w:ascii="仿宋" w:hAnsi="仿宋" w:eastAsia="仿宋"/>
                <w:sz w:val="24"/>
              </w:rPr>
            </w:pPr>
            <w:r>
              <w:rPr>
                <w:rFonts w:hint="eastAsia" w:ascii="仿宋" w:hAnsi="仿宋" w:eastAsia="仿宋"/>
                <w:sz w:val="24"/>
              </w:rPr>
              <w:t>预算外</w:t>
            </w:r>
          </w:p>
        </w:tc>
        <w:tc>
          <w:tcPr>
            <w:tcW w:w="5269" w:type="dxa"/>
            <w:gridSpan w:val="2"/>
            <w:tcBorders>
              <w:top w:val="single" w:color="000000" w:sz="4" w:space="0"/>
              <w:left w:val="single" w:color="000000" w:sz="4" w:space="0"/>
              <w:bottom w:val="single" w:color="000000" w:sz="4" w:space="0"/>
              <w:right w:val="single" w:color="000000" w:sz="4" w:space="0"/>
            </w:tcBorders>
            <w:noWrap w:val="0"/>
            <w:vAlign w:val="center"/>
          </w:tcPr>
          <w:p w14:paraId="793544CD">
            <w:pPr>
              <w:autoSpaceDE w:val="0"/>
              <w:jc w:val="center"/>
              <w:rPr>
                <w:rFonts w:ascii="仿宋" w:hAnsi="仿宋" w:eastAsia="仿宋"/>
                <w:sz w:val="24"/>
              </w:rPr>
            </w:pPr>
          </w:p>
        </w:tc>
      </w:tr>
      <w:tr w14:paraId="08F60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2925" w:type="dxa"/>
            <w:tcBorders>
              <w:top w:val="single" w:color="000000" w:sz="4" w:space="0"/>
              <w:left w:val="single" w:color="000000" w:sz="4" w:space="0"/>
              <w:bottom w:val="single" w:color="000000" w:sz="4" w:space="0"/>
              <w:right w:val="single" w:color="000000" w:sz="4" w:space="0"/>
            </w:tcBorders>
            <w:noWrap w:val="0"/>
            <w:vAlign w:val="center"/>
          </w:tcPr>
          <w:p w14:paraId="013610D7">
            <w:pPr>
              <w:autoSpaceDE w:val="0"/>
              <w:jc w:val="center"/>
              <w:rPr>
                <w:rFonts w:ascii="仿宋" w:hAnsi="仿宋" w:eastAsia="仿宋"/>
                <w:sz w:val="24"/>
              </w:rPr>
            </w:pPr>
            <w:r>
              <w:rPr>
                <w:rFonts w:hint="eastAsia" w:ascii="仿宋" w:hAnsi="仿宋" w:eastAsia="仿宋"/>
                <w:sz w:val="24"/>
              </w:rPr>
              <w:t>请购部门</w:t>
            </w:r>
          </w:p>
        </w:tc>
        <w:tc>
          <w:tcPr>
            <w:tcW w:w="2343" w:type="dxa"/>
            <w:tcBorders>
              <w:top w:val="single" w:color="000000" w:sz="4" w:space="0"/>
              <w:left w:val="single" w:color="000000" w:sz="4" w:space="0"/>
              <w:bottom w:val="single" w:color="000000" w:sz="4" w:space="0"/>
              <w:right w:val="single" w:color="000000" w:sz="4" w:space="0"/>
            </w:tcBorders>
            <w:noWrap w:val="0"/>
            <w:vAlign w:val="center"/>
          </w:tcPr>
          <w:p w14:paraId="667D372F">
            <w:pPr>
              <w:autoSpaceDE w:val="0"/>
              <w:jc w:val="center"/>
              <w:rPr>
                <w:rFonts w:ascii="仿宋" w:hAnsi="仿宋" w:eastAsia="仿宋"/>
                <w:sz w:val="24"/>
              </w:rPr>
            </w:pPr>
          </w:p>
        </w:tc>
        <w:tc>
          <w:tcPr>
            <w:tcW w:w="2213" w:type="dxa"/>
            <w:tcBorders>
              <w:top w:val="single" w:color="000000" w:sz="4" w:space="0"/>
              <w:left w:val="single" w:color="000000" w:sz="4" w:space="0"/>
              <w:bottom w:val="single" w:color="000000" w:sz="4" w:space="0"/>
              <w:right w:val="single" w:color="000000" w:sz="4" w:space="0"/>
            </w:tcBorders>
            <w:noWrap w:val="0"/>
            <w:vAlign w:val="center"/>
          </w:tcPr>
          <w:p w14:paraId="4B5530A6">
            <w:pPr>
              <w:autoSpaceDE w:val="0"/>
              <w:jc w:val="center"/>
              <w:rPr>
                <w:rFonts w:ascii="仿宋" w:hAnsi="仿宋" w:eastAsia="仿宋"/>
                <w:sz w:val="24"/>
              </w:rPr>
            </w:pPr>
            <w:r>
              <w:rPr>
                <w:rFonts w:hint="eastAsia" w:ascii="仿宋" w:hAnsi="仿宋" w:eastAsia="仿宋"/>
                <w:sz w:val="24"/>
              </w:rPr>
              <w:t>请购人</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3E3B5F09">
            <w:pPr>
              <w:autoSpaceDE w:val="0"/>
              <w:jc w:val="center"/>
              <w:rPr>
                <w:rFonts w:ascii="仿宋" w:hAnsi="仿宋" w:eastAsia="仿宋"/>
                <w:sz w:val="24"/>
              </w:rPr>
            </w:pPr>
          </w:p>
        </w:tc>
      </w:tr>
      <w:tr w14:paraId="4F607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2925" w:type="dxa"/>
            <w:tcBorders>
              <w:top w:val="single" w:color="000000" w:sz="4" w:space="0"/>
              <w:left w:val="single" w:color="000000" w:sz="4" w:space="0"/>
              <w:bottom w:val="single" w:color="000000" w:sz="4" w:space="0"/>
              <w:right w:val="single" w:color="000000" w:sz="4" w:space="0"/>
            </w:tcBorders>
            <w:noWrap w:val="0"/>
            <w:vAlign w:val="center"/>
          </w:tcPr>
          <w:p w14:paraId="144625FD">
            <w:pPr>
              <w:autoSpaceDE w:val="0"/>
              <w:jc w:val="center"/>
              <w:rPr>
                <w:rFonts w:ascii="仿宋" w:hAnsi="仿宋" w:eastAsia="仿宋"/>
                <w:sz w:val="24"/>
              </w:rPr>
            </w:pPr>
            <w:r>
              <w:rPr>
                <w:rFonts w:hint="eastAsia" w:ascii="仿宋" w:hAnsi="仿宋" w:eastAsia="仿宋"/>
                <w:sz w:val="24"/>
              </w:rPr>
              <w:t>请购人联系方式</w:t>
            </w:r>
          </w:p>
        </w:tc>
        <w:tc>
          <w:tcPr>
            <w:tcW w:w="2343" w:type="dxa"/>
            <w:tcBorders>
              <w:top w:val="single" w:color="000000" w:sz="4" w:space="0"/>
              <w:left w:val="single" w:color="000000" w:sz="4" w:space="0"/>
              <w:bottom w:val="single" w:color="000000" w:sz="4" w:space="0"/>
              <w:right w:val="single" w:color="000000" w:sz="4" w:space="0"/>
            </w:tcBorders>
            <w:noWrap w:val="0"/>
            <w:vAlign w:val="center"/>
          </w:tcPr>
          <w:p w14:paraId="68C7B09D">
            <w:pPr>
              <w:autoSpaceDE w:val="0"/>
              <w:jc w:val="center"/>
              <w:rPr>
                <w:rFonts w:ascii="仿宋" w:hAnsi="仿宋" w:eastAsia="仿宋"/>
                <w:sz w:val="24"/>
              </w:rPr>
            </w:pPr>
          </w:p>
        </w:tc>
        <w:tc>
          <w:tcPr>
            <w:tcW w:w="2213" w:type="dxa"/>
            <w:tcBorders>
              <w:top w:val="single" w:color="000000" w:sz="4" w:space="0"/>
              <w:left w:val="single" w:color="000000" w:sz="4" w:space="0"/>
              <w:bottom w:val="single" w:color="000000" w:sz="4" w:space="0"/>
              <w:right w:val="single" w:color="000000" w:sz="4" w:space="0"/>
            </w:tcBorders>
            <w:noWrap w:val="0"/>
            <w:vAlign w:val="center"/>
          </w:tcPr>
          <w:p w14:paraId="74098F7D">
            <w:pPr>
              <w:autoSpaceDE w:val="0"/>
              <w:jc w:val="center"/>
              <w:rPr>
                <w:rFonts w:ascii="仿宋" w:hAnsi="仿宋" w:eastAsia="仿宋"/>
                <w:sz w:val="24"/>
              </w:rPr>
            </w:pPr>
            <w:r>
              <w:rPr>
                <w:rFonts w:hint="eastAsia" w:ascii="仿宋" w:hAnsi="仿宋" w:eastAsia="仿宋"/>
                <w:sz w:val="24"/>
              </w:rPr>
              <w:t>请购日期</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213B2A38">
            <w:pPr>
              <w:autoSpaceDE w:val="0"/>
              <w:jc w:val="center"/>
              <w:rPr>
                <w:rFonts w:ascii="仿宋" w:hAnsi="仿宋" w:eastAsia="仿宋"/>
                <w:sz w:val="24"/>
              </w:rPr>
            </w:pPr>
          </w:p>
        </w:tc>
      </w:tr>
      <w:tr w14:paraId="056B1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2925" w:type="dxa"/>
            <w:tcBorders>
              <w:top w:val="single" w:color="000000" w:sz="4" w:space="0"/>
              <w:left w:val="single" w:color="000000" w:sz="4" w:space="0"/>
              <w:bottom w:val="single" w:color="000000" w:sz="4" w:space="0"/>
              <w:right w:val="single" w:color="000000" w:sz="4" w:space="0"/>
            </w:tcBorders>
            <w:noWrap w:val="0"/>
            <w:vAlign w:val="center"/>
          </w:tcPr>
          <w:p w14:paraId="392FAA96">
            <w:pPr>
              <w:autoSpaceDE w:val="0"/>
              <w:jc w:val="center"/>
              <w:rPr>
                <w:rFonts w:ascii="仿宋" w:hAnsi="仿宋" w:eastAsia="仿宋"/>
                <w:sz w:val="24"/>
              </w:rPr>
            </w:pPr>
            <w:r>
              <w:rPr>
                <w:rFonts w:hint="eastAsia" w:ascii="仿宋" w:hAnsi="仿宋" w:eastAsia="仿宋"/>
                <w:sz w:val="24"/>
              </w:rPr>
              <w:t>申请物品类别</w:t>
            </w:r>
          </w:p>
        </w:tc>
        <w:tc>
          <w:tcPr>
            <w:tcW w:w="7612" w:type="dxa"/>
            <w:gridSpan w:val="3"/>
            <w:tcBorders>
              <w:top w:val="single" w:color="000000" w:sz="4" w:space="0"/>
              <w:left w:val="single" w:color="000000" w:sz="4" w:space="0"/>
              <w:bottom w:val="single" w:color="000000" w:sz="4" w:space="0"/>
              <w:right w:val="single" w:color="000000" w:sz="4" w:space="0"/>
            </w:tcBorders>
            <w:noWrap w:val="0"/>
            <w:vAlign w:val="center"/>
          </w:tcPr>
          <w:p w14:paraId="18AA4E26">
            <w:pPr>
              <w:autoSpaceDE w:val="0"/>
              <w:jc w:val="center"/>
              <w:rPr>
                <w:rFonts w:ascii="仿宋" w:hAnsi="仿宋" w:eastAsia="仿宋"/>
                <w:sz w:val="24"/>
              </w:rPr>
            </w:pPr>
          </w:p>
        </w:tc>
      </w:tr>
      <w:tr w14:paraId="31CE2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jc w:val="center"/>
        </w:trPr>
        <w:tc>
          <w:tcPr>
            <w:tcW w:w="2925" w:type="dxa"/>
            <w:tcBorders>
              <w:top w:val="single" w:color="000000" w:sz="4" w:space="0"/>
              <w:left w:val="single" w:color="000000" w:sz="4" w:space="0"/>
              <w:bottom w:val="single" w:color="000000" w:sz="4" w:space="0"/>
              <w:right w:val="single" w:color="000000" w:sz="4" w:space="0"/>
            </w:tcBorders>
            <w:noWrap w:val="0"/>
            <w:vAlign w:val="center"/>
          </w:tcPr>
          <w:p w14:paraId="531593A5">
            <w:pPr>
              <w:autoSpaceDE w:val="0"/>
              <w:snapToGrid w:val="0"/>
              <w:jc w:val="center"/>
              <w:rPr>
                <w:rFonts w:ascii="仿宋" w:hAnsi="仿宋" w:eastAsia="仿宋"/>
                <w:sz w:val="24"/>
              </w:rPr>
            </w:pPr>
            <w:r>
              <w:rPr>
                <w:rFonts w:hint="eastAsia" w:ascii="仿宋" w:hAnsi="仿宋" w:eastAsia="仿宋"/>
                <w:sz w:val="24"/>
              </w:rPr>
              <w:t>预估资金合计</w:t>
            </w:r>
          </w:p>
          <w:p w14:paraId="5CD88480">
            <w:pPr>
              <w:autoSpaceDE w:val="0"/>
              <w:snapToGrid w:val="0"/>
              <w:jc w:val="center"/>
              <w:rPr>
                <w:rFonts w:ascii="仿宋" w:hAnsi="仿宋" w:eastAsia="仿宋"/>
                <w:sz w:val="24"/>
              </w:rPr>
            </w:pPr>
            <w:r>
              <w:rPr>
                <w:rFonts w:hint="eastAsia" w:ascii="仿宋" w:hAnsi="仿宋" w:eastAsia="仿宋"/>
                <w:sz w:val="24"/>
              </w:rPr>
              <w:t>（详细列表见公文正文）</w:t>
            </w:r>
          </w:p>
        </w:tc>
        <w:tc>
          <w:tcPr>
            <w:tcW w:w="7612" w:type="dxa"/>
            <w:gridSpan w:val="3"/>
            <w:tcBorders>
              <w:top w:val="single" w:color="000000" w:sz="4" w:space="0"/>
              <w:left w:val="single" w:color="000000" w:sz="4" w:space="0"/>
              <w:bottom w:val="single" w:color="000000" w:sz="4" w:space="0"/>
              <w:right w:val="single" w:color="000000" w:sz="4" w:space="0"/>
            </w:tcBorders>
            <w:noWrap w:val="0"/>
            <w:vAlign w:val="center"/>
          </w:tcPr>
          <w:p w14:paraId="41EF7427">
            <w:pPr>
              <w:autoSpaceDE w:val="0"/>
              <w:jc w:val="center"/>
              <w:rPr>
                <w:rFonts w:ascii="仿宋" w:hAnsi="仿宋" w:eastAsia="仿宋"/>
                <w:sz w:val="24"/>
              </w:rPr>
            </w:pPr>
          </w:p>
        </w:tc>
      </w:tr>
      <w:tr w14:paraId="512AA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2925" w:type="dxa"/>
            <w:tcBorders>
              <w:top w:val="single" w:color="000000" w:sz="4" w:space="0"/>
              <w:left w:val="single" w:color="000000" w:sz="4" w:space="0"/>
              <w:bottom w:val="single" w:color="000000" w:sz="4" w:space="0"/>
              <w:right w:val="single" w:color="000000" w:sz="4" w:space="0"/>
            </w:tcBorders>
            <w:noWrap w:val="0"/>
            <w:vAlign w:val="center"/>
          </w:tcPr>
          <w:p w14:paraId="51866AF5">
            <w:pPr>
              <w:autoSpaceDE w:val="0"/>
              <w:jc w:val="center"/>
              <w:rPr>
                <w:rFonts w:ascii="仿宋" w:hAnsi="仿宋" w:eastAsia="仿宋"/>
                <w:sz w:val="24"/>
              </w:rPr>
            </w:pPr>
            <w:r>
              <w:rPr>
                <w:rFonts w:hint="eastAsia" w:ascii="仿宋" w:hAnsi="仿宋" w:eastAsia="仿宋"/>
                <w:sz w:val="24"/>
              </w:rPr>
              <w:t>财务部预算审核</w:t>
            </w:r>
          </w:p>
        </w:tc>
        <w:tc>
          <w:tcPr>
            <w:tcW w:w="7612" w:type="dxa"/>
            <w:gridSpan w:val="3"/>
            <w:tcBorders>
              <w:top w:val="single" w:color="000000" w:sz="4" w:space="0"/>
              <w:left w:val="single" w:color="000000" w:sz="4" w:space="0"/>
              <w:bottom w:val="single" w:color="000000" w:sz="4" w:space="0"/>
              <w:right w:val="single" w:color="000000" w:sz="4" w:space="0"/>
            </w:tcBorders>
            <w:noWrap w:val="0"/>
            <w:vAlign w:val="center"/>
          </w:tcPr>
          <w:p w14:paraId="2C999128">
            <w:pPr>
              <w:autoSpaceDE w:val="0"/>
              <w:jc w:val="center"/>
              <w:rPr>
                <w:rFonts w:ascii="仿宋" w:hAnsi="仿宋" w:eastAsia="仿宋"/>
                <w:sz w:val="24"/>
              </w:rPr>
            </w:pPr>
          </w:p>
        </w:tc>
      </w:tr>
      <w:tr w14:paraId="4B2ED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2925" w:type="dxa"/>
            <w:tcBorders>
              <w:top w:val="single" w:color="000000" w:sz="4" w:space="0"/>
              <w:left w:val="single" w:color="000000" w:sz="4" w:space="0"/>
              <w:bottom w:val="single" w:color="000000" w:sz="4" w:space="0"/>
              <w:right w:val="single" w:color="000000" w:sz="4" w:space="0"/>
            </w:tcBorders>
            <w:noWrap w:val="0"/>
            <w:vAlign w:val="center"/>
          </w:tcPr>
          <w:p w14:paraId="6138D625">
            <w:pPr>
              <w:autoSpaceDE w:val="0"/>
              <w:jc w:val="center"/>
              <w:rPr>
                <w:rFonts w:ascii="仿宋" w:hAnsi="仿宋" w:eastAsia="仿宋"/>
                <w:sz w:val="24"/>
              </w:rPr>
            </w:pPr>
            <w:r>
              <w:rPr>
                <w:rFonts w:hint="eastAsia" w:ascii="仿宋" w:hAnsi="仿宋" w:eastAsia="仿宋"/>
                <w:sz w:val="24"/>
              </w:rPr>
              <w:t>申购部门负责人意见</w:t>
            </w:r>
          </w:p>
        </w:tc>
        <w:tc>
          <w:tcPr>
            <w:tcW w:w="2343" w:type="dxa"/>
            <w:tcBorders>
              <w:top w:val="single" w:color="000000" w:sz="4" w:space="0"/>
              <w:left w:val="single" w:color="000000" w:sz="4" w:space="0"/>
              <w:bottom w:val="single" w:color="000000" w:sz="4" w:space="0"/>
              <w:right w:val="single" w:color="000000" w:sz="4" w:space="0"/>
            </w:tcBorders>
            <w:noWrap w:val="0"/>
            <w:vAlign w:val="center"/>
          </w:tcPr>
          <w:p w14:paraId="359321E9">
            <w:pPr>
              <w:autoSpaceDE w:val="0"/>
              <w:jc w:val="center"/>
              <w:rPr>
                <w:rFonts w:ascii="仿宋" w:hAnsi="仿宋" w:eastAsia="仿宋"/>
                <w:sz w:val="24"/>
              </w:rPr>
            </w:pPr>
          </w:p>
        </w:tc>
        <w:tc>
          <w:tcPr>
            <w:tcW w:w="2213" w:type="dxa"/>
            <w:tcBorders>
              <w:top w:val="single" w:color="000000" w:sz="4" w:space="0"/>
              <w:left w:val="single" w:color="000000" w:sz="4" w:space="0"/>
              <w:bottom w:val="single" w:color="000000" w:sz="4" w:space="0"/>
              <w:right w:val="single" w:color="000000" w:sz="4" w:space="0"/>
            </w:tcBorders>
            <w:noWrap w:val="0"/>
            <w:vAlign w:val="center"/>
          </w:tcPr>
          <w:p w14:paraId="40856B23">
            <w:pPr>
              <w:autoSpaceDE w:val="0"/>
              <w:rPr>
                <w:rFonts w:ascii="仿宋" w:hAnsi="仿宋" w:eastAsia="仿宋"/>
                <w:sz w:val="24"/>
              </w:rPr>
            </w:pPr>
            <w:r>
              <w:rPr>
                <w:rFonts w:hint="eastAsia" w:ascii="仿宋" w:hAnsi="仿宋" w:eastAsia="仿宋"/>
                <w:sz w:val="24"/>
              </w:rPr>
              <w:t>分管院领导意见</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4E899688">
            <w:pPr>
              <w:autoSpaceDE w:val="0"/>
              <w:jc w:val="center"/>
              <w:rPr>
                <w:rFonts w:ascii="仿宋" w:hAnsi="仿宋" w:eastAsia="仿宋"/>
                <w:sz w:val="24"/>
              </w:rPr>
            </w:pPr>
          </w:p>
        </w:tc>
      </w:tr>
      <w:tr w14:paraId="1417A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2925" w:type="dxa"/>
            <w:tcBorders>
              <w:top w:val="single" w:color="000000" w:sz="4" w:space="0"/>
              <w:left w:val="single" w:color="000000" w:sz="4" w:space="0"/>
              <w:bottom w:val="single" w:color="000000" w:sz="4" w:space="0"/>
              <w:right w:val="single" w:color="000000" w:sz="4" w:space="0"/>
            </w:tcBorders>
            <w:noWrap w:val="0"/>
            <w:vAlign w:val="center"/>
          </w:tcPr>
          <w:p w14:paraId="4F9D71FE">
            <w:pPr>
              <w:autoSpaceDE w:val="0"/>
              <w:jc w:val="center"/>
              <w:rPr>
                <w:rFonts w:ascii="仿宋" w:hAnsi="仿宋" w:eastAsia="仿宋"/>
                <w:sz w:val="24"/>
              </w:rPr>
            </w:pPr>
            <w:r>
              <w:rPr>
                <w:rFonts w:hint="eastAsia" w:ascii="仿宋" w:hAnsi="仿宋" w:eastAsia="仿宋"/>
                <w:sz w:val="24"/>
              </w:rPr>
              <w:t>主管院领导批示</w:t>
            </w:r>
          </w:p>
        </w:tc>
        <w:tc>
          <w:tcPr>
            <w:tcW w:w="7612" w:type="dxa"/>
            <w:gridSpan w:val="3"/>
            <w:tcBorders>
              <w:top w:val="single" w:color="000000" w:sz="4" w:space="0"/>
              <w:left w:val="single" w:color="000000" w:sz="4" w:space="0"/>
              <w:bottom w:val="single" w:color="000000" w:sz="4" w:space="0"/>
              <w:right w:val="single" w:color="000000" w:sz="4" w:space="0"/>
            </w:tcBorders>
            <w:noWrap w:val="0"/>
            <w:vAlign w:val="center"/>
          </w:tcPr>
          <w:p w14:paraId="78AE48F8">
            <w:pPr>
              <w:autoSpaceDE w:val="0"/>
              <w:jc w:val="center"/>
              <w:rPr>
                <w:rFonts w:ascii="仿宋" w:hAnsi="仿宋" w:eastAsia="仿宋"/>
                <w:sz w:val="24"/>
              </w:rPr>
            </w:pPr>
          </w:p>
        </w:tc>
      </w:tr>
      <w:tr w14:paraId="6ECBB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2925" w:type="dxa"/>
            <w:tcBorders>
              <w:top w:val="single" w:color="000000" w:sz="4" w:space="0"/>
              <w:left w:val="single" w:color="000000" w:sz="4" w:space="0"/>
              <w:bottom w:val="single" w:color="000000" w:sz="4" w:space="0"/>
              <w:right w:val="single" w:color="000000" w:sz="4" w:space="0"/>
            </w:tcBorders>
            <w:noWrap w:val="0"/>
            <w:vAlign w:val="center"/>
          </w:tcPr>
          <w:p w14:paraId="5AD91445">
            <w:pPr>
              <w:autoSpaceDE w:val="0"/>
              <w:jc w:val="center"/>
              <w:rPr>
                <w:rFonts w:ascii="仿宋" w:hAnsi="仿宋" w:eastAsia="仿宋"/>
                <w:sz w:val="24"/>
              </w:rPr>
            </w:pPr>
            <w:r>
              <w:rPr>
                <w:rFonts w:hint="eastAsia" w:ascii="仿宋" w:hAnsi="仿宋" w:eastAsia="仿宋"/>
                <w:sz w:val="24"/>
              </w:rPr>
              <w:t>招投标与集中采购部意见</w:t>
            </w:r>
          </w:p>
        </w:tc>
        <w:tc>
          <w:tcPr>
            <w:tcW w:w="2343" w:type="dxa"/>
            <w:tcBorders>
              <w:top w:val="single" w:color="000000" w:sz="4" w:space="0"/>
              <w:left w:val="single" w:color="000000" w:sz="4" w:space="0"/>
              <w:bottom w:val="single" w:color="000000" w:sz="4" w:space="0"/>
              <w:right w:val="single" w:color="000000" w:sz="4" w:space="0"/>
            </w:tcBorders>
            <w:noWrap w:val="0"/>
            <w:vAlign w:val="center"/>
          </w:tcPr>
          <w:p w14:paraId="16E2C00D">
            <w:pPr>
              <w:autoSpaceDE w:val="0"/>
              <w:jc w:val="center"/>
              <w:rPr>
                <w:rFonts w:ascii="仿宋" w:hAnsi="仿宋" w:eastAsia="仿宋"/>
                <w:sz w:val="24"/>
              </w:rPr>
            </w:pPr>
          </w:p>
        </w:tc>
        <w:tc>
          <w:tcPr>
            <w:tcW w:w="2213" w:type="dxa"/>
            <w:tcBorders>
              <w:top w:val="single" w:color="000000" w:sz="4" w:space="0"/>
              <w:left w:val="single" w:color="000000" w:sz="4" w:space="0"/>
              <w:bottom w:val="single" w:color="000000" w:sz="4" w:space="0"/>
              <w:right w:val="single" w:color="000000" w:sz="4" w:space="0"/>
            </w:tcBorders>
            <w:noWrap w:val="0"/>
            <w:vAlign w:val="center"/>
          </w:tcPr>
          <w:p w14:paraId="3CB09615">
            <w:pPr>
              <w:autoSpaceDE w:val="0"/>
              <w:rPr>
                <w:rFonts w:ascii="仿宋" w:hAnsi="仿宋" w:eastAsia="仿宋"/>
                <w:sz w:val="24"/>
              </w:rPr>
            </w:pPr>
            <w:r>
              <w:rPr>
                <w:rFonts w:hint="eastAsia" w:ascii="仿宋" w:hAnsi="仿宋" w:eastAsia="仿宋"/>
                <w:sz w:val="24"/>
              </w:rPr>
              <w:t>资产管理部门意见</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14:paraId="22048E5D">
            <w:pPr>
              <w:autoSpaceDE w:val="0"/>
              <w:jc w:val="center"/>
              <w:rPr>
                <w:rFonts w:ascii="仿宋" w:hAnsi="仿宋" w:eastAsia="仿宋"/>
                <w:sz w:val="24"/>
              </w:rPr>
            </w:pPr>
          </w:p>
        </w:tc>
      </w:tr>
      <w:tr w14:paraId="34770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2925" w:type="dxa"/>
            <w:tcBorders>
              <w:top w:val="single" w:color="000000" w:sz="4" w:space="0"/>
              <w:left w:val="single" w:color="000000" w:sz="4" w:space="0"/>
              <w:bottom w:val="single" w:color="000000" w:sz="4" w:space="0"/>
              <w:right w:val="single" w:color="000000" w:sz="4" w:space="0"/>
            </w:tcBorders>
            <w:noWrap w:val="0"/>
            <w:vAlign w:val="center"/>
          </w:tcPr>
          <w:p w14:paraId="501A89E1">
            <w:pPr>
              <w:autoSpaceDE w:val="0"/>
              <w:jc w:val="center"/>
              <w:rPr>
                <w:rFonts w:ascii="仿宋" w:hAnsi="仿宋" w:eastAsia="仿宋"/>
                <w:sz w:val="24"/>
              </w:rPr>
            </w:pPr>
            <w:r>
              <w:rPr>
                <w:rFonts w:hint="eastAsia" w:ascii="仿宋" w:hAnsi="仿宋" w:eastAsia="仿宋"/>
                <w:sz w:val="24"/>
              </w:rPr>
              <w:t>仓库管理员意见</w:t>
            </w:r>
          </w:p>
        </w:tc>
        <w:tc>
          <w:tcPr>
            <w:tcW w:w="7612" w:type="dxa"/>
            <w:gridSpan w:val="3"/>
            <w:tcBorders>
              <w:top w:val="single" w:color="000000" w:sz="4" w:space="0"/>
              <w:left w:val="single" w:color="000000" w:sz="4" w:space="0"/>
              <w:bottom w:val="single" w:color="000000" w:sz="4" w:space="0"/>
              <w:right w:val="single" w:color="000000" w:sz="4" w:space="0"/>
            </w:tcBorders>
            <w:noWrap w:val="0"/>
            <w:vAlign w:val="center"/>
          </w:tcPr>
          <w:p w14:paraId="053AA2C7">
            <w:pPr>
              <w:autoSpaceDE w:val="0"/>
              <w:jc w:val="center"/>
              <w:rPr>
                <w:rFonts w:ascii="仿宋" w:hAnsi="仿宋" w:eastAsia="仿宋"/>
                <w:sz w:val="24"/>
              </w:rPr>
            </w:pPr>
          </w:p>
        </w:tc>
      </w:tr>
      <w:tr w14:paraId="482C5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jc w:val="center"/>
        </w:trPr>
        <w:tc>
          <w:tcPr>
            <w:tcW w:w="2925" w:type="dxa"/>
            <w:tcBorders>
              <w:top w:val="single" w:color="000000" w:sz="4" w:space="0"/>
              <w:left w:val="single" w:color="000000" w:sz="4" w:space="0"/>
              <w:bottom w:val="single" w:color="000000" w:sz="4" w:space="0"/>
              <w:right w:val="single" w:color="000000" w:sz="4" w:space="0"/>
            </w:tcBorders>
            <w:noWrap w:val="0"/>
            <w:vAlign w:val="center"/>
          </w:tcPr>
          <w:p w14:paraId="232045D2">
            <w:pPr>
              <w:autoSpaceDE w:val="0"/>
              <w:snapToGrid w:val="0"/>
              <w:jc w:val="center"/>
              <w:rPr>
                <w:rFonts w:ascii="仿宋" w:hAnsi="仿宋" w:eastAsia="仿宋"/>
                <w:sz w:val="24"/>
              </w:rPr>
            </w:pPr>
            <w:r>
              <w:rPr>
                <w:rFonts w:hint="eastAsia" w:ascii="仿宋" w:hAnsi="仿宋" w:eastAsia="仿宋"/>
                <w:sz w:val="24"/>
              </w:rPr>
              <w:t>招投标与集中采购部</w:t>
            </w:r>
          </w:p>
          <w:p w14:paraId="516835A7">
            <w:pPr>
              <w:autoSpaceDE w:val="0"/>
              <w:snapToGrid w:val="0"/>
              <w:jc w:val="center"/>
              <w:rPr>
                <w:rFonts w:ascii="仿宋" w:hAnsi="仿宋" w:eastAsia="仿宋"/>
                <w:sz w:val="24"/>
              </w:rPr>
            </w:pPr>
            <w:r>
              <w:rPr>
                <w:rFonts w:hint="eastAsia" w:ascii="仿宋" w:hAnsi="仿宋" w:eastAsia="仿宋"/>
                <w:sz w:val="24"/>
              </w:rPr>
              <w:t>受理日期及执行情况</w:t>
            </w:r>
          </w:p>
        </w:tc>
        <w:tc>
          <w:tcPr>
            <w:tcW w:w="7612" w:type="dxa"/>
            <w:gridSpan w:val="3"/>
            <w:tcBorders>
              <w:top w:val="single" w:color="000000" w:sz="4" w:space="0"/>
              <w:left w:val="single" w:color="000000" w:sz="4" w:space="0"/>
              <w:bottom w:val="single" w:color="000000" w:sz="4" w:space="0"/>
              <w:right w:val="single" w:color="000000" w:sz="4" w:space="0"/>
            </w:tcBorders>
            <w:noWrap w:val="0"/>
            <w:vAlign w:val="center"/>
          </w:tcPr>
          <w:p w14:paraId="6350B410">
            <w:pPr>
              <w:autoSpaceDE w:val="0"/>
              <w:jc w:val="center"/>
              <w:rPr>
                <w:rFonts w:ascii="仿宋" w:hAnsi="仿宋" w:eastAsia="仿宋"/>
                <w:sz w:val="24"/>
              </w:rPr>
            </w:pPr>
          </w:p>
        </w:tc>
      </w:tr>
    </w:tbl>
    <w:p w14:paraId="2F7119FC">
      <w:pPr>
        <w:widowControl/>
        <w:snapToGrid w:val="0"/>
        <w:jc w:val="left"/>
        <w:textAlignment w:val="center"/>
        <w:rPr>
          <w:rFonts w:hint="eastAsia" w:ascii="仿宋" w:hAnsi="仿宋" w:eastAsia="仿宋" w:cs="楷体_GB2312"/>
          <w:kern w:val="0"/>
          <w:sz w:val="24"/>
        </w:rPr>
      </w:pPr>
      <w:r>
        <w:rPr>
          <w:rFonts w:hint="eastAsia" w:ascii="仿宋" w:hAnsi="仿宋" w:eastAsia="仿宋" w:cs="楷体_GB2312"/>
          <w:kern w:val="0"/>
          <w:sz w:val="24"/>
        </w:rPr>
        <w:t>注意事项：1.预算金额三万以上包含三万的项目，请填写招标项目申请表。</w:t>
      </w:r>
    </w:p>
    <w:p w14:paraId="3AFD81D2">
      <w:pPr>
        <w:widowControl/>
        <w:snapToGrid w:val="0"/>
        <w:ind w:firstLine="1200" w:firstLineChars="500"/>
        <w:jc w:val="left"/>
        <w:textAlignment w:val="center"/>
        <w:rPr>
          <w:rFonts w:hint="eastAsia" w:ascii="仿宋" w:hAnsi="仿宋" w:eastAsia="仿宋" w:cs="楷体_GB2312"/>
          <w:kern w:val="0"/>
          <w:sz w:val="24"/>
        </w:rPr>
      </w:pPr>
      <w:r>
        <w:rPr>
          <w:rFonts w:hint="eastAsia" w:ascii="仿宋" w:hAnsi="仿宋" w:eastAsia="仿宋" w:cs="楷体_GB2312"/>
          <w:kern w:val="0"/>
          <w:sz w:val="24"/>
        </w:rPr>
        <w:t>2.预算金额三万以内的项目，请填写物资设备申购单。</w:t>
      </w:r>
    </w:p>
    <w:p w14:paraId="72F2D65C">
      <w:pPr>
        <w:spacing w:line="20" w:lineRule="exact"/>
        <w:rPr>
          <w:rFonts w:hint="eastAsia"/>
        </w:rPr>
      </w:pPr>
    </w:p>
    <w:p w14:paraId="5A41F15F">
      <w:pPr>
        <w:snapToGrid w:val="0"/>
        <w:spacing w:line="360" w:lineRule="auto"/>
        <w:rPr>
          <w:rFonts w:hint="eastAsia" w:ascii="仿宋_GB2312"/>
        </w:rPr>
        <w:sectPr>
          <w:headerReference r:id="rId3" w:type="default"/>
          <w:footerReference r:id="rId4" w:type="default"/>
          <w:footerReference r:id="rId5" w:type="even"/>
          <w:pgSz w:w="11906" w:h="16838"/>
          <w:pgMar w:top="2098" w:right="1327" w:bottom="1588" w:left="1644" w:header="851" w:footer="992" w:gutter="0"/>
          <w:cols w:space="720" w:num="1"/>
          <w:docGrid w:type="linesAndChars" w:linePitch="597" w:charSpace="-183"/>
        </w:sectPr>
      </w:pPr>
    </w:p>
    <w:p w14:paraId="05980867">
      <w:pPr>
        <w:snapToGrid w:val="0"/>
        <w:spacing w:line="360" w:lineRule="auto"/>
        <w:rPr>
          <w:rFonts w:hint="eastAsia" w:ascii="仿宋_GB2312"/>
        </w:rPr>
      </w:pPr>
    </w:p>
    <w:tbl>
      <w:tblPr>
        <w:tblStyle w:val="28"/>
        <w:tblpPr w:leftFromText="181" w:rightFromText="181" w:vertAnchor="page" w:tblpXSpec="center" w:tblpY="14460"/>
        <w:tblW w:w="0" w:type="auto"/>
        <w:tblInd w:w="0" w:type="dxa"/>
        <w:tblBorders>
          <w:top w:val="single" w:color="000000" w:sz="8" w:space="0"/>
          <w:left w:val="none" w:color="000000" w:sz="0" w:space="0"/>
          <w:bottom w:val="single" w:color="000000" w:sz="8"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9052"/>
      </w:tblGrid>
      <w:tr w14:paraId="0C6FF73C">
        <w:tblPrEx>
          <w:tblBorders>
            <w:top w:val="single" w:color="000000" w:sz="8" w:space="0"/>
            <w:left w:val="none" w:color="000000" w:sz="0" w:space="0"/>
            <w:bottom w:val="single" w:color="000000" w:sz="8"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41" w:hRule="atLeast"/>
        </w:trPr>
        <w:tc>
          <w:tcPr>
            <w:tcW w:w="9052" w:type="dxa"/>
            <w:noWrap w:val="0"/>
            <w:vAlign w:val="center"/>
          </w:tcPr>
          <w:p w14:paraId="533CF4EF">
            <w:pPr>
              <w:snapToGrid w:val="0"/>
              <w:spacing w:line="579" w:lineRule="exact"/>
              <w:ind w:firstLine="280" w:firstLineChars="100"/>
              <w:rPr>
                <w:rFonts w:ascii="仿宋_GB2312" w:hAnsi="宋体"/>
                <w:szCs w:val="32"/>
              </w:rPr>
            </w:pPr>
            <w:r>
              <w:rPr>
                <w:rFonts w:hint="eastAsia" w:ascii="仿宋_GB2312" w:hAnsi="宋体"/>
                <w:sz w:val="28"/>
                <w:szCs w:val="28"/>
              </w:rPr>
              <w:t xml:space="preserve">新乡医学院三全学院院长办公室           </w:t>
            </w:r>
            <w:r>
              <w:rPr>
                <w:rFonts w:ascii="仿宋_GB2312" w:hAnsi="宋体"/>
                <w:sz w:val="28"/>
                <w:szCs w:val="28"/>
              </w:rPr>
              <w:t>20</w:t>
            </w:r>
            <w:r>
              <w:rPr>
                <w:rFonts w:hint="eastAsia" w:ascii="仿宋_GB2312" w:hAnsi="宋体"/>
                <w:sz w:val="28"/>
                <w:szCs w:val="28"/>
              </w:rPr>
              <w:t>24</w:t>
            </w:r>
            <w:r>
              <w:rPr>
                <w:rFonts w:ascii="仿宋_GB2312" w:hAnsi="宋体"/>
                <w:sz w:val="28"/>
                <w:szCs w:val="28"/>
              </w:rPr>
              <w:t>年</w:t>
            </w:r>
            <w:r>
              <w:rPr>
                <w:rFonts w:hint="eastAsia" w:ascii="仿宋_GB2312" w:hAnsi="宋体"/>
                <w:sz w:val="28"/>
                <w:szCs w:val="28"/>
              </w:rPr>
              <w:t>11</w:t>
            </w:r>
            <w:r>
              <w:rPr>
                <w:rFonts w:ascii="仿宋_GB2312" w:hAnsi="宋体"/>
                <w:sz w:val="28"/>
                <w:szCs w:val="28"/>
              </w:rPr>
              <w:t>月</w:t>
            </w:r>
            <w:r>
              <w:rPr>
                <w:rFonts w:hint="eastAsia" w:ascii="仿宋_GB2312" w:hAnsi="宋体"/>
                <w:sz w:val="28"/>
                <w:szCs w:val="28"/>
              </w:rPr>
              <w:t>11</w:t>
            </w:r>
            <w:r>
              <w:rPr>
                <w:rFonts w:ascii="仿宋_GB2312" w:hAnsi="宋体"/>
                <w:sz w:val="28"/>
                <w:szCs w:val="28"/>
              </w:rPr>
              <w:t>日</w:t>
            </w:r>
            <w:r>
              <w:rPr>
                <w:rFonts w:hint="eastAsia" w:ascii="仿宋_GB2312" w:hAnsi="宋体"/>
                <w:sz w:val="28"/>
                <w:szCs w:val="28"/>
              </w:rPr>
              <w:t>印发</w:t>
            </w:r>
          </w:p>
        </w:tc>
      </w:tr>
    </w:tbl>
    <w:p w14:paraId="759FCF90">
      <w:pPr>
        <w:spacing w:line="20" w:lineRule="exact"/>
      </w:pPr>
    </w:p>
    <w:sectPr>
      <w:footerReference r:id="rId6" w:type="default"/>
      <w:footerReference r:id="rId7" w:type="even"/>
      <w:pgSz w:w="11906" w:h="16838"/>
      <w:pgMar w:top="2098" w:right="1327" w:bottom="1588" w:left="1644" w:header="851" w:footer="992" w:gutter="0"/>
      <w:cols w:space="720" w:num="1"/>
      <w:docGrid w:type="linesAndChars" w:linePitch="597" w:charSpace="-1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E0002EFF" w:usb1="C0007843" w:usb2="00000009" w:usb3="00000000" w:csb0="400001FF" w:csb1="FFFF0000"/>
  </w:font>
  <w:font w:name="方正小标宋简体">
    <w:panose1 w:val="00000600000000000000"/>
    <w:charset w:val="86"/>
    <w:family w:val="auto"/>
    <w:pitch w:val="default"/>
    <w:sig w:usb0="800002BF" w:usb1="184F6CF8" w:usb2="00000012" w:usb3="00000000" w:csb0="00160001" w:csb1="1203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2AE3D">
    <w:pPr>
      <w:pStyle w:val="190"/>
      <w:wordWrap w:val="0"/>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15</w:t>
    </w:r>
    <w:r>
      <w:rPr>
        <w:rFonts w:ascii="宋体" w:hAnsi="宋体" w:eastAsia="宋体"/>
        <w:sz w:val="28"/>
        <w:szCs w:val="28"/>
      </w:rPr>
      <w:fldChar w:fldCharType="end"/>
    </w:r>
    <w:r>
      <w:rPr>
        <w:rFonts w:hint="eastAsia" w:ascii="宋体" w:hAnsi="宋体" w:eastAsia="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1A3CA">
    <w:pPr>
      <w:pStyle w:val="190"/>
      <w:ind w:firstLine="280"/>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14</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864CA">
    <w:pPr>
      <w:pStyle w:val="190"/>
      <w:wordWrap w:val="0"/>
      <w:rPr>
        <w:rFonts w:ascii="宋体" w:hAnsi="宋体" w:eastAsia="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DCD8B">
    <w:pPr>
      <w:pStyle w:val="190"/>
      <w:ind w:firstLine="2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FF2B4">
    <w:pPr>
      <w:pStyle w:val="192"/>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chineseCounting"/>
      <w:suff w:val="nothing"/>
      <w:lvlText w:val="（%1）"/>
      <w:lvlJc w:val="left"/>
      <w:pPr>
        <w:ind w:left="0" w:firstLine="0"/>
      </w:pPr>
      <w:rPr>
        <w:rFonts w:hint="eastAsia" w:ascii="仿宋_GB2312" w:hAnsi="仿宋_GB2312" w:eastAsia="仿宋_GB2312" w:cs="仿宋_GB231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53208E"/>
    <w:multiLevelType w:val="multilevel"/>
    <w:tmpl w:val="0053208E"/>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5B654F3"/>
    <w:multiLevelType w:val="multilevel"/>
    <w:tmpl w:val="25B654F3"/>
    <w:lvl w:ilvl="0" w:tentative="0">
      <w:start w:val="1"/>
      <w:numFmt w:val="chineseCounting"/>
      <w:suff w:val="nothing"/>
      <w:lvlText w:val="（%1）"/>
      <w:lvlJc w:val="left"/>
      <w:pPr>
        <w:ind w:left="0" w:firstLine="0"/>
      </w:pPr>
      <w:rPr>
        <w:rFonts w:hint="eastAsia" w:ascii="仿宋_GB2312" w:hAnsi="仿宋_GB2312" w:eastAsia="仿宋_GB2312" w:cs="仿宋_GB231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9ADCABA"/>
    <w:multiLevelType w:val="multilevel"/>
    <w:tmpl w:val="59ADCABA"/>
    <w:lvl w:ilvl="0" w:tentative="0">
      <w:start w:val="3"/>
      <w:numFmt w:val="decimal"/>
      <w:suff w:val="nothing"/>
      <w:lvlText w:val="（%1）"/>
      <w:lvlJc w:val="left"/>
      <w:pPr>
        <w:ind w:left="0" w:firstLine="0"/>
      </w:pPr>
      <w:rPr>
        <w:rFonts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1"/>
  <w:drawingGridHorizontalSpacing w:val="-183"/>
  <w:drawingGridVerticalSpacing w:val="597"/>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5F35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7"/>
    <w:qFormat/>
    <w:uiPriority w:val="0"/>
    <w:pPr>
      <w:widowControl w:val="0"/>
      <w:jc w:val="both"/>
    </w:pPr>
    <w:rPr>
      <w:rFonts w:hint="default" w:ascii="Times New Roman" w:hAnsi="Times New Roman" w:eastAsia="仿宋_GB2312" w:cs="Times New Roman"/>
      <w:kern w:val="2"/>
      <w:sz w:val="32"/>
      <w:szCs w:val="24"/>
      <w:lang w:val="en-US" w:eastAsia="zh-CN" w:bidi="ar-SA"/>
    </w:rPr>
  </w:style>
  <w:style w:type="paragraph" w:styleId="2">
    <w:name w:val="heading 1"/>
    <w:basedOn w:val="1"/>
    <w:next w:val="1"/>
    <w:link w:val="34"/>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5"/>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8"/>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39"/>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0"/>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2"/>
    <w:unhideWhenUsed/>
    <w:qFormat/>
    <w:uiPriority w:val="9"/>
    <w:pPr>
      <w:keepNext/>
      <w:keepLines/>
      <w:spacing w:before="320" w:after="200"/>
      <w:outlineLvl w:val="8"/>
    </w:pPr>
    <w:rPr>
      <w:rFonts w:ascii="Arial" w:hAnsi="Arial" w:eastAsia="Arial" w:cs="Arial"/>
      <w:i/>
      <w:iCs/>
      <w:sz w:val="21"/>
      <w:szCs w:val="21"/>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link w:val="53"/>
    <w:unhideWhenUsed/>
    <w:uiPriority w:val="99"/>
    <w:pPr>
      <w:tabs>
        <w:tab w:val="center" w:pos="7143"/>
        <w:tab w:val="right" w:pos="14287"/>
      </w:tabs>
      <w:spacing w:after="0" w:line="240" w:lineRule="auto"/>
    </w:pPr>
  </w:style>
  <w:style w:type="paragraph" w:styleId="18">
    <w:name w:val="header"/>
    <w:basedOn w:val="1"/>
    <w:link w:val="51"/>
    <w:unhideWhenUsed/>
    <w:uiPriority w:val="99"/>
    <w:pPr>
      <w:tabs>
        <w:tab w:val="center" w:pos="7143"/>
        <w:tab w:val="right" w:pos="14287"/>
      </w:tabs>
      <w:spacing w:after="0" w:line="240" w:lineRule="auto"/>
    </w:pPr>
  </w:style>
  <w:style w:type="paragraph" w:styleId="19">
    <w:name w:val="toc 1"/>
    <w:basedOn w:val="1"/>
    <w:next w:val="1"/>
    <w:unhideWhenUsed/>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endnote reference"/>
    <w:semiHidden/>
    <w:unhideWhenUsed/>
    <w:uiPriority w:val="99"/>
    <w:rPr>
      <w:vertAlign w:val="superscript"/>
    </w:rPr>
  </w:style>
  <w:style w:type="character" w:styleId="32">
    <w:name w:val="Hyperlink"/>
    <w:unhideWhenUsed/>
    <w:uiPriority w:val="99"/>
    <w:rPr>
      <w:color w:val="0000FF" w:themeColor="hyperlink"/>
      <w:u w:val="single"/>
    </w:rPr>
  </w:style>
  <w:style w:type="character" w:styleId="33">
    <w:name w:val="footnote reference"/>
    <w:unhideWhenUsed/>
    <w:uiPriority w:val="99"/>
    <w:rPr>
      <w:vertAlign w:val="superscript"/>
    </w:rPr>
  </w:style>
  <w:style w:type="character" w:customStyle="1" w:styleId="34">
    <w:name w:val="Heading 1 Char"/>
    <w:link w:val="2"/>
    <w:uiPriority w:val="9"/>
    <w:rPr>
      <w:rFonts w:ascii="Arial" w:hAnsi="Arial" w:eastAsia="Arial" w:cs="Arial"/>
      <w:sz w:val="40"/>
      <w:szCs w:val="40"/>
    </w:rPr>
  </w:style>
  <w:style w:type="character" w:customStyle="1" w:styleId="35">
    <w:name w:val="Heading 2 Char"/>
    <w:link w:val="3"/>
    <w:uiPriority w:val="9"/>
    <w:rPr>
      <w:rFonts w:ascii="Arial" w:hAnsi="Arial" w:eastAsia="Arial" w:cs="Arial"/>
      <w:sz w:val="34"/>
    </w:rPr>
  </w:style>
  <w:style w:type="character" w:customStyle="1" w:styleId="36">
    <w:name w:val="Heading 3 Char"/>
    <w:link w:val="4"/>
    <w:qFormat/>
    <w:uiPriority w:val="9"/>
    <w:rPr>
      <w:rFonts w:ascii="Arial" w:hAnsi="Arial" w:eastAsia="Arial" w:cs="Arial"/>
      <w:sz w:val="30"/>
      <w:szCs w:val="30"/>
    </w:rPr>
  </w:style>
  <w:style w:type="character" w:customStyle="1" w:styleId="37">
    <w:name w:val="Heading 4 Char"/>
    <w:link w:val="5"/>
    <w:uiPriority w:val="9"/>
    <w:rPr>
      <w:rFonts w:ascii="Arial" w:hAnsi="Arial" w:eastAsia="Arial" w:cs="Arial"/>
      <w:b/>
      <w:bCs/>
      <w:sz w:val="26"/>
      <w:szCs w:val="26"/>
    </w:rPr>
  </w:style>
  <w:style w:type="character" w:customStyle="1" w:styleId="38">
    <w:name w:val="Heading 5 Char"/>
    <w:link w:val="6"/>
    <w:uiPriority w:val="9"/>
    <w:rPr>
      <w:rFonts w:ascii="Arial" w:hAnsi="Arial" w:eastAsia="Arial" w:cs="Arial"/>
      <w:b/>
      <w:bCs/>
      <w:sz w:val="24"/>
      <w:szCs w:val="24"/>
    </w:rPr>
  </w:style>
  <w:style w:type="character" w:customStyle="1" w:styleId="39">
    <w:name w:val="Heading 6 Char"/>
    <w:link w:val="7"/>
    <w:uiPriority w:val="9"/>
    <w:rPr>
      <w:rFonts w:ascii="Arial" w:hAnsi="Arial" w:eastAsia="Arial" w:cs="Arial"/>
      <w:b/>
      <w:bCs/>
      <w:sz w:val="22"/>
      <w:szCs w:val="22"/>
    </w:rPr>
  </w:style>
  <w:style w:type="character" w:customStyle="1" w:styleId="40">
    <w:name w:val="Heading 7 Char"/>
    <w:link w:val="8"/>
    <w:uiPriority w:val="9"/>
    <w:rPr>
      <w:rFonts w:ascii="Arial" w:hAnsi="Arial" w:eastAsia="Arial" w:cs="Arial"/>
      <w:b/>
      <w:bCs/>
      <w:i/>
      <w:iCs/>
      <w:sz w:val="22"/>
      <w:szCs w:val="22"/>
    </w:rPr>
  </w:style>
  <w:style w:type="character" w:customStyle="1" w:styleId="41">
    <w:name w:val="Heading 8 Char"/>
    <w:link w:val="9"/>
    <w:uiPriority w:val="9"/>
    <w:rPr>
      <w:rFonts w:ascii="Arial" w:hAnsi="Arial" w:eastAsia="Arial" w:cs="Arial"/>
      <w:i/>
      <w:iCs/>
      <w:sz w:val="22"/>
      <w:szCs w:val="22"/>
    </w:rPr>
  </w:style>
  <w:style w:type="character" w:customStyle="1" w:styleId="42">
    <w:name w:val="Heading 9 Char"/>
    <w:link w:val="10"/>
    <w:uiPriority w:val="9"/>
    <w:rPr>
      <w:rFonts w:ascii="Arial" w:hAnsi="Arial" w:eastAsia="Arial" w:cs="Arial"/>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7"/>
    <w:uiPriority w:val="10"/>
    <w:rPr>
      <w:sz w:val="48"/>
      <w:szCs w:val="48"/>
    </w:rPr>
  </w:style>
  <w:style w:type="character" w:customStyle="1" w:styleId="46">
    <w:name w:val="Subtitle Char"/>
    <w:link w:val="21"/>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Header Char"/>
    <w:link w:val="18"/>
    <w:uiPriority w:val="99"/>
  </w:style>
  <w:style w:type="character" w:customStyle="1" w:styleId="52">
    <w:name w:val="Footer Char"/>
    <w:link w:val="17"/>
    <w:uiPriority w:val="99"/>
  </w:style>
  <w:style w:type="character" w:customStyle="1" w:styleId="53">
    <w:name w:val="Caption Char"/>
    <w:link w:val="17"/>
    <w:uiPriority w:val="99"/>
  </w:style>
  <w:style w:type="table" w:customStyle="1" w:styleId="54">
    <w:name w:val="Table Grid Ligh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5">
    <w:name w:val="Plain Table 1"/>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6">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Plain Table 3"/>
    <w:uiPriority w:val="99"/>
    <w:pPr>
      <w:spacing w:after="0" w:line="240" w:lineRule="auto"/>
    </w:pP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4"/>
    <w:uiPriority w:val="99"/>
    <w:pPr>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5"/>
    <w:uiPriority w:val="99"/>
    <w:pPr>
      <w:spacing w:after="0" w:line="240" w:lineRule="auto"/>
    </w:pP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Grid Table 1 Ligh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2">
    <w:name w:val="Grid Table 1 Light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3">
    <w:name w:val="Grid Table 1 Light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4">
    <w:name w:val="Grid Table 1 Light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5">
    <w:name w:val="Grid Table 1 Light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6">
    <w:name w:val="Grid Table 1 Light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7">
    <w:name w:val="Grid Table 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Grid Table 2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69">
    <w:name w:val="Grid Table 2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0">
    <w:name w:val="Grid Table 2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1">
    <w:name w:val="Grid Table 2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2">
    <w:name w:val="Grid Table 2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3">
    <w:name w:val="Grid Table 2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4">
    <w:name w:val="Grid Table 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3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6">
    <w:name w:val="Grid Table 3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7">
    <w:name w:val="Grid Table 3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8">
    <w:name w:val="Grid Table 3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9">
    <w:name w:val="Grid Table 3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0">
    <w:name w:val="Grid Table 3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1">
    <w:name w:val="Grid Table 4"/>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4 - Accent 1"/>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3">
    <w:name w:val="Grid Table 4 - Accent 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4 - Accent 3"/>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4 - Accent 4"/>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4 - Accent 5"/>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4 - Accent 6"/>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5 Dark"/>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9">
    <w:name w:val="Grid Table 5 Dark- Accent 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0">
    <w:name w:val="Grid Table 5 Dark - Accent 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1">
    <w:name w:val="Grid Table 5 Dark - Accent 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2">
    <w:name w:val="Grid Table 5 Dark- Accent 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3">
    <w:name w:val="Grid Table 5 Dark - Accent 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4">
    <w:name w:val="Grid Table 5 Dark - Accent 6"/>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5">
    <w:name w:val="Grid Table 6 Colorful"/>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CACACA" w:themeFill="text1" w:themeFillTint="34"/>
      </w:tcPr>
    </w:tblStylePr>
    <w:tblStylePr w:type="band1Horz">
      <w:rPr>
        <w:rFonts w:ascii="Arial" w:hAnsi="Arial"/>
        <w:color w:val="7E7E7E" w:themeColor="text1" w:themeShade="95" w:themeTint="80"/>
        <w:sz w:val="22"/>
      </w:rPr>
      <w:tcPr>
        <w:shd w:val="clear" w:color="CACACA" w:themeColor="text1" w:themeTint="34" w:fill="CACACA" w:themeFill="text1" w:themeFillTint="34"/>
      </w:tcPr>
    </w:tblStylePr>
    <w:tblStylePr w:type="band2Horz">
      <w:rPr>
        <w:rFonts w:ascii="Arial" w:hAnsi="Arial"/>
        <w:color w:val="7E7E7E" w:themeColor="text1" w:themeShade="95" w:themeTint="80"/>
        <w:sz w:val="22"/>
      </w:rPr>
    </w:tblStylePr>
  </w:style>
  <w:style w:type="table" w:customStyle="1" w:styleId="96">
    <w:name w:val="Grid Table 6 Colorful - Accent 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Shade="95" w:themeTint="80"/>
      </w:rPr>
      <w:tcPr>
        <w:tcBorders>
          <w:bottom w:val="single" w:color="A6BFDD" w:themeColor="accent1" w:themeTint="80" w:sz="12" w:space="0"/>
        </w:tcBorders>
      </w:tcPr>
    </w:tblStylePr>
    <w:tblStylePr w:type="lastRow">
      <w:rPr>
        <w:b/>
        <w:color w:val="A6BFDD" w:themeColor="accent1" w:themeShade="95" w:themeTint="80"/>
      </w:rPr>
    </w:tblStylePr>
    <w:tblStylePr w:type="firstCol">
      <w:rPr>
        <w:b/>
        <w:color w:val="A6BFDD" w:themeColor="accent1" w:themeShade="95" w:themeTint="80"/>
      </w:rPr>
    </w:tblStylePr>
    <w:tblStylePr w:type="lastCol">
      <w:rPr>
        <w:b/>
        <w:color w:val="A6BFDD" w:themeColor="accent1" w:themeShade="95" w:themeTint="80"/>
      </w:r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97">
    <w:name w:val="Grid Table 6 Colorful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99795" w:themeColor="accent2" w:themeShade="95" w:themeTint="97"/>
      </w:rPr>
      <w:tcPr>
        <w:tcBorders>
          <w:bottom w:val="single" w:color="D99795" w:themeColor="accent2" w:themeTint="97" w:sz="12" w:space="0"/>
        </w:tcBorders>
      </w:tcPr>
    </w:tblStylePr>
    <w:tblStylePr w:type="lastRow">
      <w:rPr>
        <w:b/>
        <w:color w:val="D99795" w:themeColor="accent2" w:themeShade="95" w:themeTint="97"/>
      </w:r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98">
    <w:name w:val="Grid Table 6 Colorful - Accent 3"/>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Shade="95" w:themeTint="FE"/>
      </w:rPr>
      <w:tcPr>
        <w:tcBorders>
          <w:bottom w:val="single" w:color="9BBB59" w:themeColor="accent3" w:themeTint="FE" w:sz="12" w:space="0"/>
        </w:tcBorders>
      </w:tcPr>
    </w:tblStylePr>
    <w:tblStylePr w:type="lastRow">
      <w:rPr>
        <w:b/>
        <w:color w:val="9BBB59" w:themeColor="accent3" w:themeShade="95" w:themeTint="FE"/>
      </w:rPr>
    </w:tblStylePr>
    <w:tblStylePr w:type="firstCol">
      <w:rPr>
        <w:b/>
        <w:color w:val="9BBB59" w:themeColor="accent3" w:themeShade="95" w:themeTint="FE"/>
      </w:rPr>
    </w:tblStylePr>
    <w:tblStylePr w:type="lastCol">
      <w:rPr>
        <w:b/>
        <w:color w:val="9BBB59" w:themeColor="accent3" w:themeShade="95" w:themeTint="FE"/>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99">
    <w:name w:val="Grid Table 6 Colorful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Shade="95" w:themeTint="9A"/>
      </w:rPr>
      <w:tcPr>
        <w:tcBorders>
          <w:bottom w:val="single" w:color="B2A1C6" w:themeColor="accent4" w:themeTint="9A" w:sz="12" w:space="0"/>
        </w:tcBorders>
      </w:tcPr>
    </w:tblStylePr>
    <w:tblStylePr w:type="lastRow">
      <w:rPr>
        <w:b/>
        <w:color w:val="B2A1C6" w:themeColor="accent4" w:themeShade="95" w:themeTint="9A"/>
      </w:r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00">
    <w:name w:val="Grid Table 6 Colorful - Accent 5"/>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01">
    <w:name w:val="Grid Table 6 Colorful - Accent 6"/>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9" w:themeColor="accent6" w:themeTint="34" w:fill="FDE9D9" w:themeFill="accent6" w:themeFillTint="34"/>
      </w:tcPr>
    </w:tblStylePr>
    <w:tblStylePr w:type="band1Horz">
      <w:rPr>
        <w:rFonts w:ascii="Arial" w:hAnsi="Arial"/>
        <w:color w:val="266779" w:themeColor="accent5" w:themeShade="95"/>
        <w:sz w:val="22"/>
      </w:rPr>
      <w:tcPr>
        <w:shd w:val="clear" w:color="FDE9D9" w:themeColor="accent6" w:themeTint="34" w:fill="FDE9D9" w:themeFill="accent6" w:themeFillTint="34"/>
      </w:tcPr>
    </w:tblStylePr>
    <w:tblStylePr w:type="band2Horz">
      <w:rPr>
        <w:rFonts w:ascii="Arial" w:hAnsi="Arial"/>
        <w:color w:val="266779" w:themeColor="accent5" w:themeShade="95"/>
        <w:sz w:val="22"/>
      </w:rPr>
    </w:tblStylePr>
  </w:style>
  <w:style w:type="table" w:customStyle="1" w:styleId="102">
    <w:name w:val="Grid Table 7 Colorful"/>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7E7E7E" w:themeColor="text1" w:themeShade="95" w:themeTint="80"/>
        <w:sz w:val="22"/>
      </w:rPr>
      <w:tcPr>
        <w:shd w:val="clear" w:color="F1F1F1" w:themeColor="text1" w:themeTint="0D" w:fill="F1F1F1" w:themeFill="text1" w:themeFillTint="0D"/>
      </w:tcPr>
    </w:tblStylePr>
    <w:tblStylePr w:type="band2Horz">
      <w:rPr>
        <w:rFonts w:ascii="Arial" w:hAnsi="Arial"/>
        <w:color w:val="7E7E7E" w:themeColor="text1" w:themeShade="95" w:themeTint="80"/>
        <w:sz w:val="22"/>
      </w:rPr>
    </w:tblStylePr>
  </w:style>
  <w:style w:type="table" w:customStyle="1" w:styleId="103">
    <w:name w:val="Grid Table 7 Colorful - Accent 1"/>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Shade="95" w:themeTint="80"/>
        <w:sz w:val="22"/>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104">
    <w:name w:val="Grid Table 7 Colorful - Accent 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105">
    <w:name w:val="Grid Table 7 Colorful - Accent 3"/>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Shade="95" w:themeTint="FE"/>
        <w:sz w:val="22"/>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106">
    <w:name w:val="Grid Table 7 Colorful - Accent 4"/>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07">
    <w:name w:val="Grid Table 7 Colorful - Accent 5"/>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08">
    <w:name w:val="Grid Table 7 Colorful - Accent 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15407" w:themeColor="accent6" w:themeShade="95"/>
        <w:sz w:val="22"/>
      </w:rPr>
      <w:tcPr>
        <w:shd w:val="clear" w:color="FDE9D9" w:themeColor="accent6" w:themeTint="34" w:fill="FDE9D9" w:themeFill="accent6" w:themeFillTint="34"/>
      </w:tcPr>
    </w:tblStylePr>
    <w:tblStylePr w:type="band2Horz">
      <w:rPr>
        <w:rFonts w:ascii="Arial" w:hAnsi="Arial"/>
        <w:color w:val="B15407" w:themeColor="accent6" w:themeShade="95"/>
        <w:sz w:val="22"/>
      </w:rPr>
    </w:tblStylePr>
  </w:style>
  <w:style w:type="table" w:customStyle="1" w:styleId="109">
    <w:name w:val="List Table 1 Light"/>
    <w:uiPriority w:val="99"/>
    <w:pPr>
      <w:spacing w:after="0" w:line="240" w:lineRule="auto"/>
    </w:pP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0">
    <w:name w:val="List Table 1 Light - Accent 1"/>
    <w:uiPriority w:val="99"/>
    <w:pPr>
      <w:spacing w:after="0" w:line="240" w:lineRule="auto"/>
    </w:pP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1">
    <w:name w:val="List Table 1 Light - Accent 2"/>
    <w:uiPriority w:val="99"/>
    <w:pPr>
      <w:spacing w:after="0" w:line="240" w:lineRule="auto"/>
    </w:pP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2">
    <w:name w:val="List Table 1 Light - Accent 3"/>
    <w:uiPriority w:val="99"/>
    <w:pPr>
      <w:spacing w:after="0" w:line="240" w:lineRule="auto"/>
    </w:pP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3">
    <w:name w:val="List Table 1 Light - Accent 4"/>
    <w:uiPriority w:val="99"/>
    <w:pPr>
      <w:spacing w:after="0" w:line="240" w:lineRule="auto"/>
    </w:pP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4">
    <w:name w:val="List Table 1 Light - Accent 5"/>
    <w:uiPriority w:val="99"/>
    <w:pPr>
      <w:spacing w:after="0" w:line="240" w:lineRule="auto"/>
    </w:pP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5">
    <w:name w:val="List Table 1 Light - Accent 6"/>
    <w:uiPriority w:val="99"/>
    <w:pPr>
      <w:spacing w:after="0" w:line="240" w:lineRule="auto"/>
    </w:pP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6">
    <w:name w:val="List Table 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7">
    <w:name w:val="List Table 2 - Accent 1"/>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8">
    <w:name w:val="List Table 2 - Accent 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19">
    <w:name w:val="List Table 2 - Accent 3"/>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0">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1">
    <w:name w:val="List Table 2 - Accent 5"/>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2">
    <w:name w:val="List Table 2 - Accent 6"/>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3">
    <w:name w:val="List Table 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5">
    <w:name w:val="List Table 3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6">
    <w:name w:val="List Table 3 - Accent 3"/>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7">
    <w:name w:val="List Table 3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8">
    <w:name w:val="List Table 3 - Accent 5"/>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29">
    <w:name w:val="List Table 3 - Accent 6"/>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0">
    <w:name w:val="List Table 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4 - Accent 1"/>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2">
    <w:name w:val="List Table 4 - Accent 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3">
    <w:name w:val="List Table 4 - Accent 3"/>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4">
    <w:name w:val="List Table 4 - Accent 4"/>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5">
    <w:name w:val="List Table 4 - Accent 5"/>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6">
    <w:name w:val="List Table 4 - Accent 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7">
    <w:name w:val="List Table 5 Dark"/>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8">
    <w:name w:val="List Table 5 Dark - Accent 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39">
    <w:name w:val="List Table 5 Dark - Accent 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0">
    <w:name w:val="List Table 5 Dark - Accent 3"/>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1">
    <w:name w:val="List Table 5 Dark - Accent 4"/>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2">
    <w:name w:val="List Table 5 Dark - Accent 5"/>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3">
    <w:name w:val="List Table 5 Dark - Accent 6"/>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4">
    <w:name w:val="List Table 6 Colorful"/>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style>
  <w:style w:type="table" w:customStyle="1" w:styleId="145">
    <w:name w:val="List Table 6 Colorful - Accent 1"/>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5"/>
      </w:rPr>
      <w:tcPr>
        <w:tcBorders>
          <w:bottom w:val="single" w:color="4F81BD" w:themeColor="accent1" w:sz="4" w:space="0"/>
        </w:tcBorders>
      </w:tcPr>
    </w:tblStylePr>
    <w:tblStylePr w:type="lastRow">
      <w:rPr>
        <w:b/>
        <w:color w:val="2A4B71" w:themeColor="accent1" w:themeShade="95"/>
      </w:rPr>
      <w:tcPr>
        <w:tcBorders>
          <w:top w:val="single" w:color="4F81BD" w:themeColor="accent1" w:sz="4" w:space="0"/>
        </w:tcBorders>
      </w:tcPr>
    </w:tblStylePr>
    <w:tblStylePr w:type="firstCol">
      <w:rPr>
        <w:b/>
        <w:color w:val="2A4B71" w:themeColor="accent1" w:themeShade="95"/>
      </w:rPr>
    </w:tblStylePr>
    <w:tblStylePr w:type="lastCol">
      <w:rPr>
        <w:b/>
        <w:color w:val="2A4B71" w:themeColor="accent1" w:themeShade="95"/>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46">
    <w:name w:val="List Table 6 Colorful - Accent 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99795" w:themeColor="accent2" w:themeShade="95" w:themeTint="97"/>
      </w:rPr>
      <w:tcPr>
        <w:tcBorders>
          <w:bottom w:val="single" w:color="D99795" w:themeColor="accent2" w:themeTint="97" w:sz="4" w:space="0"/>
        </w:tcBorders>
      </w:tcPr>
    </w:tblStylePr>
    <w:tblStylePr w:type="lastRow">
      <w:rPr>
        <w:b/>
        <w:color w:val="D99795" w:themeColor="accent2" w:themeShade="95" w:themeTint="97"/>
      </w:rPr>
      <w:tcPr>
        <w:tcBorders>
          <w:top w:val="single" w:color="D99795" w:themeColor="accent2" w:themeTint="97" w:sz="4" w:space="0"/>
        </w:tcBorders>
      </w:tc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47">
    <w:name w:val="List Table 6 Colorful - Accent 3"/>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C" w:themeColor="accent3" w:themeShade="95" w:themeTint="98"/>
      </w:rPr>
      <w:tcPr>
        <w:tcBorders>
          <w:bottom w:val="single" w:color="C3D69C" w:themeColor="accent3" w:themeTint="98" w:sz="4" w:space="0"/>
        </w:tcBorders>
      </w:tcPr>
    </w:tblStylePr>
    <w:tblStylePr w:type="lastRow">
      <w:rPr>
        <w:b/>
        <w:color w:val="C3D69C" w:themeColor="accent3" w:themeShade="95" w:themeTint="98"/>
      </w:rPr>
      <w:tcPr>
        <w:tcBorders>
          <w:top w:val="single" w:color="C3D69C" w:themeColor="accent3" w:themeTint="98" w:sz="4" w:space="0"/>
        </w:tcBorders>
      </w:tcPr>
    </w:tblStylePr>
    <w:tblStylePr w:type="firstCol">
      <w:rPr>
        <w:b/>
        <w:color w:val="C3D69C" w:themeColor="accent3" w:themeShade="95" w:themeTint="98"/>
      </w:rPr>
    </w:tblStylePr>
    <w:tblStylePr w:type="lastCol">
      <w:rPr>
        <w:b/>
        <w:color w:val="C3D69C" w:themeColor="accent3" w:themeShade="95" w:themeTint="98"/>
      </w:r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48">
    <w:name w:val="List Table 6 Colorful - Accent 4"/>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2A1C6" w:themeColor="accent4" w:themeShade="95" w:themeTint="9A"/>
      </w:rPr>
      <w:tcPr>
        <w:tcBorders>
          <w:bottom w:val="single" w:color="B2A1C6" w:themeColor="accent4" w:themeTint="9A" w:sz="4" w:space="0"/>
        </w:tcBorders>
      </w:tcPr>
    </w:tblStylePr>
    <w:tblStylePr w:type="lastRow">
      <w:rPr>
        <w:b/>
        <w:color w:val="B2A1C6" w:themeColor="accent4" w:themeShade="95" w:themeTint="9A"/>
      </w:rPr>
      <w:tcPr>
        <w:tcBorders>
          <w:top w:val="single" w:color="B2A1C6" w:themeColor="accent4" w:themeTint="9A" w:sz="4" w:space="0"/>
        </w:tcBorders>
      </w:tc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49">
    <w:name w:val="List Table 6 Colorful - Accent 5"/>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2CCDC" w:themeColor="accent5" w:themeShade="95" w:themeTint="9A"/>
      </w:rPr>
      <w:tcPr>
        <w:tcBorders>
          <w:bottom w:val="single" w:color="92CCDC" w:themeColor="accent5" w:themeTint="9A" w:sz="4" w:space="0"/>
        </w:tcBorders>
      </w:tcPr>
    </w:tblStylePr>
    <w:tblStylePr w:type="lastRow">
      <w:rPr>
        <w:b/>
        <w:color w:val="92CCDC" w:themeColor="accent5" w:themeShade="95" w:themeTint="9A"/>
      </w:rPr>
      <w:tcPr>
        <w:tcBorders>
          <w:top w:val="single" w:color="92CCDC" w:themeColor="accent5" w:themeTint="9A" w:sz="4" w:space="0"/>
        </w:tcBorders>
      </w:tcPr>
    </w:tblStylePr>
    <w:tblStylePr w:type="firstCol">
      <w:rPr>
        <w:b/>
        <w:color w:val="92CCDC" w:themeColor="accent5" w:themeShade="95" w:themeTint="9A"/>
      </w:rPr>
    </w:tblStylePr>
    <w:tblStylePr w:type="lastCol">
      <w:rPr>
        <w:b/>
        <w:color w:val="92CCDC" w:themeColor="accent5" w:themeShade="95" w:themeTint="9A"/>
      </w:r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50">
    <w:name w:val="List Table 6 Colorful - Accent 6"/>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Shade="95" w:themeTint="98"/>
      </w:rPr>
      <w:tcPr>
        <w:tcBorders>
          <w:bottom w:val="single" w:color="FAC090" w:themeColor="accent6" w:themeTint="98" w:sz="4" w:space="0"/>
        </w:tcBorders>
      </w:tcPr>
    </w:tblStylePr>
    <w:tblStylePr w:type="lastRow">
      <w:rPr>
        <w:b/>
        <w:color w:val="FAC090" w:themeColor="accent6" w:themeShade="95" w:themeTint="98"/>
      </w:rPr>
      <w:tcPr>
        <w:tcBorders>
          <w:top w:val="single" w:color="FAC090" w:themeColor="accent6" w:themeTint="98" w:sz="4" w:space="0"/>
        </w:tcBorders>
      </w:tcPr>
    </w:tblStylePr>
    <w:tblStylePr w:type="firstCol">
      <w:rPr>
        <w:b/>
        <w:color w:val="FAC090" w:themeColor="accent6" w:themeShade="95" w:themeTint="98"/>
      </w:rPr>
    </w:tblStylePr>
    <w:tblStylePr w:type="lastCol">
      <w:rPr>
        <w:b/>
        <w:color w:val="FAC090" w:themeColor="accent6" w:themeShade="95" w:themeTint="98"/>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51">
    <w:name w:val="List Table 7 Colorful"/>
    <w:uiPriority w:val="99"/>
    <w:pPr>
      <w:spacing w:after="0" w:line="240" w:lineRule="auto"/>
    </w:pPr>
    <w:tblPr>
      <w:tblBorders>
        <w:right w:val="single" w:color="7E7E7E" w:themeColor="text1" w:themeTint="80" w:sz="4" w:space="0"/>
      </w:tblBorders>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7E7E7E" w:themeColor="text1" w:themeShade="95" w:themeTint="80"/>
        <w:sz w:val="22"/>
      </w:rPr>
      <w:tcPr>
        <w:shd w:val="clear" w:color="BEBEBE" w:themeColor="text1" w:themeTint="40" w:fill="BEBEBE" w:themeFill="text1" w:themeFillTint="40"/>
      </w:tcPr>
    </w:tblStylePr>
    <w:tblStylePr w:type="band2Horz">
      <w:rPr>
        <w:rFonts w:ascii="Arial" w:hAnsi="Arial"/>
        <w:color w:val="7E7E7E" w:themeColor="text1" w:themeShade="95" w:themeTint="80"/>
        <w:sz w:val="22"/>
      </w:rPr>
    </w:tblStylePr>
  </w:style>
  <w:style w:type="table" w:customStyle="1" w:styleId="152">
    <w:name w:val="List Table 7 Colorful - Accent 1"/>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5"/>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53">
    <w:name w:val="List Table 7 Colorful - Accent 2"/>
    <w:uiPriority w:val="99"/>
    <w:pPr>
      <w:spacing w:after="0" w:line="240" w:lineRule="auto"/>
    </w:pPr>
    <w:tblPr>
      <w:tblBorders>
        <w:right w:val="single" w:color="D99795" w:themeColor="accent2" w:themeTint="97" w:sz="4" w:space="0"/>
      </w:tblBorders>
    </w:tblPr>
    <w:tblStylePr w:type="firstRow">
      <w:rPr>
        <w:rFonts w:ascii="Arial" w:hAnsi="Arial"/>
        <w:i/>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54">
    <w:name w:val="List Table 7 Colorful - Accent 3"/>
    <w:uiPriority w:val="99"/>
    <w:pPr>
      <w:spacing w:after="0" w:line="240" w:lineRule="auto"/>
    </w:pPr>
    <w:tblPr>
      <w:tblBorders>
        <w:right w:val="single" w:color="C3D69C" w:themeColor="accent3" w:themeTint="98" w:sz="4" w:space="0"/>
      </w:tblBorders>
    </w:tblPr>
    <w:tblStylePr w:type="firstRow">
      <w:rPr>
        <w:rFonts w:ascii="Arial" w:hAnsi="Arial"/>
        <w:i/>
        <w:color w:val="C3D69C" w:themeColor="accent3" w:themeShade="95" w:themeTint="98"/>
        <w:sz w:val="22"/>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55">
    <w:name w:val="List Table 7 Colorful - Accent 4"/>
    <w:uiPriority w:val="99"/>
    <w:pPr>
      <w:spacing w:after="0" w:line="240" w:lineRule="auto"/>
    </w:pPr>
    <w:tblPr>
      <w:tblBorders>
        <w:right w:val="single" w:color="B2A1C6" w:themeColor="accent4" w:themeTint="9A" w:sz="4" w:space="0"/>
      </w:tblBorders>
    </w:tblPr>
    <w:tblStylePr w:type="firstRow">
      <w:rPr>
        <w:rFonts w:ascii="Arial" w:hAnsi="Arial"/>
        <w:i/>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56">
    <w:name w:val="List Table 7 Colorful - Accent 5"/>
    <w:uiPriority w:val="99"/>
    <w:pPr>
      <w:spacing w:after="0" w:line="240" w:lineRule="auto"/>
    </w:pPr>
    <w:tblPr>
      <w:tblBorders>
        <w:right w:val="single" w:color="92CCDC" w:themeColor="accent5" w:themeTint="9A" w:sz="4" w:space="0"/>
      </w:tblBorders>
    </w:tblPr>
    <w:tblStylePr w:type="firstRow">
      <w:rPr>
        <w:rFonts w:ascii="Arial" w:hAnsi="Arial"/>
        <w:i/>
        <w:color w:val="92CCDC" w:themeColor="accent5" w:themeShade="95" w:themeTint="9A"/>
        <w:sz w:val="22"/>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57">
    <w:name w:val="List Table 7 Colorful - Accent 6"/>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Shade="95" w:themeTint="98"/>
        <w:sz w:val="22"/>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58">
    <w:name w:val="Lined - Accent"/>
    <w:uiPriority w:val="99"/>
    <w:pPr>
      <w:spacing w:after="0" w:line="240" w:lineRule="auto"/>
    </w:pPr>
    <w:rPr>
      <w:color w:val="404040"/>
    </w:rP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9">
    <w:name w:val="Lined - Accent 1"/>
    <w:uiPriority w:val="99"/>
    <w:pPr>
      <w:spacing w:after="0" w:line="240" w:lineRule="auto"/>
    </w:pPr>
    <w:rPr>
      <w:color w:val="404040"/>
    </w:rP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0">
    <w:name w:val="Lined - Accent 2"/>
    <w:uiPriority w:val="99"/>
    <w:pPr>
      <w:spacing w:after="0" w:line="240" w:lineRule="auto"/>
    </w:pPr>
    <w:rPr>
      <w:color w:val="404040"/>
    </w:rP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1">
    <w:name w:val="Lined - Accent 3"/>
    <w:uiPriority w:val="99"/>
    <w:pPr>
      <w:spacing w:after="0" w:line="240" w:lineRule="auto"/>
    </w:pPr>
    <w:rPr>
      <w:color w:val="404040"/>
    </w:rP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2">
    <w:name w:val="Lined - Accent 4"/>
    <w:uiPriority w:val="99"/>
    <w:pPr>
      <w:spacing w:after="0" w:line="240" w:lineRule="auto"/>
    </w:pPr>
    <w:rPr>
      <w:color w:val="404040"/>
    </w:rP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3">
    <w:name w:val="Lined - Accent 5"/>
    <w:uiPriority w:val="99"/>
    <w:pPr>
      <w:spacing w:after="0" w:line="240" w:lineRule="auto"/>
    </w:pPr>
    <w:rPr>
      <w:color w:val="404040"/>
    </w:rP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4">
    <w:name w:val="Lined - Accent 6"/>
    <w:uiPriority w:val="99"/>
    <w:pPr>
      <w:spacing w:after="0" w:line="240" w:lineRule="auto"/>
    </w:pPr>
    <w:rPr>
      <w:color w:val="404040"/>
    </w:rP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5">
    <w:name w:val="Bordered &amp; Lined - Accen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Bordered &amp; Lined - Accent 1"/>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7">
    <w:name w:val="Bordered &amp; Lined - Accent 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8">
    <w:name w:val="Bordered &amp; Lined - Accent 3"/>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9">
    <w:name w:val="Bordered &amp; Lined - Accent 4"/>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0">
    <w:name w:val="Bordered &amp; Lined - Accent 5"/>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1">
    <w:name w:val="Bordered &amp; Lined - Accent 6"/>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2">
    <w:name w:val="Bordered"/>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4">
    <w:name w:val="Bordered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5">
    <w:name w:val="Bordered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6">
    <w:name w:val="Bordered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7">
    <w:name w:val="Bordered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8">
    <w:name w:val="Bordered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Times New Roman" w:hAnsi="Times New Roman" w:eastAsia="宋体" w:cs="Times New Roman"/>
    </w:rPr>
  </w:style>
  <w:style w:type="paragraph" w:customStyle="1" w:styleId="182">
    <w:name w:val="标题 31"/>
    <w:basedOn w:val="1"/>
    <w:next w:val="1"/>
    <w:link w:val="185"/>
    <w:qFormat/>
    <w:uiPriority w:val="99"/>
    <w:pPr>
      <w:spacing w:before="100" w:beforeAutospacing="1" w:after="100" w:afterAutospacing="1"/>
      <w:jc w:val="left"/>
      <w:outlineLvl w:val="2"/>
    </w:pPr>
    <w:rPr>
      <w:rFonts w:ascii="宋体" w:hAnsi="宋体" w:eastAsia="宋体" w:cs="宋体"/>
      <w:b/>
      <w:bCs/>
      <w:kern w:val="0"/>
      <w:sz w:val="27"/>
      <w:szCs w:val="27"/>
    </w:rPr>
  </w:style>
  <w:style w:type="character" w:customStyle="1" w:styleId="183">
    <w:name w:val="默认段落字体1"/>
    <w:link w:val="1"/>
    <w:unhideWhenUsed/>
    <w:uiPriority w:val="1"/>
  </w:style>
  <w:style w:type="table" w:customStyle="1" w:styleId="184">
    <w:name w:val="普通表格1"/>
    <w:unhideWhenUsed/>
    <w:uiPriority w:val="99"/>
  </w:style>
  <w:style w:type="character" w:customStyle="1" w:styleId="185">
    <w:name w:val="标题 3 字符"/>
    <w:link w:val="182"/>
    <w:uiPriority w:val="99"/>
    <w:rPr>
      <w:rFonts w:ascii="宋体" w:hAnsi="宋体" w:eastAsia="宋体" w:cs="宋体"/>
      <w:b/>
      <w:bCs/>
      <w:kern w:val="0"/>
      <w:sz w:val="27"/>
      <w:szCs w:val="27"/>
    </w:rPr>
  </w:style>
  <w:style w:type="paragraph" w:customStyle="1" w:styleId="186">
    <w:name w:val="纯文本1"/>
    <w:basedOn w:val="1"/>
    <w:link w:val="187"/>
    <w:unhideWhenUsed/>
    <w:uiPriority w:val="99"/>
    <w:rPr>
      <w:rFonts w:ascii="宋体" w:hAnsi="Courier New" w:eastAsia="宋体" w:cs="宋体"/>
      <w:sz w:val="21"/>
      <w:szCs w:val="21"/>
    </w:rPr>
  </w:style>
  <w:style w:type="character" w:customStyle="1" w:styleId="187">
    <w:name w:val="纯文本 字符"/>
    <w:link w:val="186"/>
    <w:uiPriority w:val="0"/>
    <w:rPr>
      <w:rFonts w:ascii="宋体" w:hAnsi="Courier New" w:eastAsia="宋体" w:cs="宋体"/>
      <w:kern w:val="2"/>
      <w:sz w:val="21"/>
      <w:szCs w:val="21"/>
      <w:lang w:val="en-US" w:eastAsia="zh-CN" w:bidi="ar-SA"/>
    </w:rPr>
  </w:style>
  <w:style w:type="paragraph" w:customStyle="1" w:styleId="188">
    <w:name w:val="批注框文本1"/>
    <w:basedOn w:val="1"/>
    <w:link w:val="189"/>
    <w:unhideWhenUsed/>
    <w:uiPriority w:val="99"/>
    <w:rPr>
      <w:sz w:val="18"/>
      <w:szCs w:val="18"/>
    </w:rPr>
  </w:style>
  <w:style w:type="character" w:customStyle="1" w:styleId="189">
    <w:name w:val="批注框文本 字符"/>
    <w:link w:val="188"/>
    <w:semiHidden/>
    <w:uiPriority w:val="99"/>
    <w:rPr>
      <w:rFonts w:ascii="Times New Roman" w:hAnsi="Times New Roman" w:eastAsia="宋体" w:cs="Times New Roman"/>
      <w:sz w:val="18"/>
      <w:szCs w:val="18"/>
    </w:rPr>
  </w:style>
  <w:style w:type="paragraph" w:customStyle="1" w:styleId="190">
    <w:name w:val="页脚1"/>
    <w:basedOn w:val="1"/>
    <w:link w:val="198"/>
    <w:unhideWhenUsed/>
    <w:uiPriority w:val="99"/>
    <w:pPr>
      <w:tabs>
        <w:tab w:val="center" w:pos="4153"/>
        <w:tab w:val="right" w:pos="8306"/>
      </w:tabs>
      <w:snapToGrid w:val="0"/>
      <w:jc w:val="left"/>
    </w:pPr>
    <w:rPr>
      <w:sz w:val="18"/>
      <w:szCs w:val="18"/>
    </w:rPr>
  </w:style>
  <w:style w:type="character" w:customStyle="1" w:styleId="191">
    <w:name w:val="页脚 字符1"/>
    <w:link w:val="190"/>
    <w:uiPriority w:val="99"/>
    <w:rPr>
      <w:rFonts w:eastAsia="仿宋_GB2312"/>
      <w:kern w:val="2"/>
      <w:sz w:val="18"/>
      <w:szCs w:val="18"/>
    </w:rPr>
  </w:style>
  <w:style w:type="paragraph" w:customStyle="1" w:styleId="192">
    <w:name w:val="页眉1"/>
    <w:basedOn w:val="1"/>
    <w:link w:val="193"/>
    <w:unhideWhenUsed/>
    <w:uiPriority w:val="99"/>
    <w:pPr>
      <w:pBdr>
        <w:bottom w:val="single" w:color="000000" w:sz="6" w:space="1"/>
      </w:pBdr>
      <w:tabs>
        <w:tab w:val="center" w:pos="4153"/>
        <w:tab w:val="right" w:pos="8306"/>
      </w:tabs>
      <w:snapToGrid w:val="0"/>
      <w:jc w:val="center"/>
    </w:pPr>
    <w:rPr>
      <w:sz w:val="18"/>
      <w:szCs w:val="18"/>
    </w:rPr>
  </w:style>
  <w:style w:type="character" w:customStyle="1" w:styleId="193">
    <w:name w:val="页眉 字符"/>
    <w:link w:val="192"/>
    <w:uiPriority w:val="99"/>
    <w:rPr>
      <w:rFonts w:ascii="Times New Roman" w:hAnsi="Times New Roman" w:eastAsia="宋体" w:cs="Times New Roman"/>
      <w:sz w:val="18"/>
      <w:szCs w:val="18"/>
    </w:rPr>
  </w:style>
  <w:style w:type="paragraph" w:customStyle="1" w:styleId="194">
    <w:name w:val="普通(网站)1"/>
    <w:basedOn w:val="1"/>
    <w:unhideWhenUsed/>
    <w:uiPriority w:val="99"/>
    <w:pPr>
      <w:widowControl/>
      <w:spacing w:before="100" w:beforeAutospacing="1" w:after="100" w:afterAutospacing="1"/>
      <w:jc w:val="left"/>
    </w:pPr>
    <w:rPr>
      <w:rFonts w:ascii="宋体" w:hAnsi="宋体" w:eastAsia="宋体" w:cs="宋体"/>
      <w:kern w:val="0"/>
      <w:sz w:val="24"/>
    </w:rPr>
  </w:style>
  <w:style w:type="table" w:customStyle="1" w:styleId="195">
    <w:name w:val="网格型1"/>
    <w:basedOn w:val="184"/>
    <w:unhideWhenUsed/>
    <w:uiPriority w:val="99"/>
    <w:pPr>
      <w:widowControl w:val="0"/>
      <w:jc w:val="both"/>
    </w:pPr>
    <w:rPr>
      <w:rFonts w:eastAsia="Times New Roman"/>
    </w:rPr>
  </w:style>
  <w:style w:type="character" w:customStyle="1" w:styleId="196">
    <w:name w:val="页码1"/>
    <w:link w:val="1"/>
    <w:unhideWhenUsed/>
    <w:uiPriority w:val="99"/>
  </w:style>
  <w:style w:type="character" w:customStyle="1" w:styleId="197">
    <w:name w:val="超链接1"/>
    <w:link w:val="1"/>
    <w:unhideWhenUsed/>
    <w:uiPriority w:val="99"/>
    <w:rPr>
      <w:rFonts w:ascii="Times New Roman" w:hAnsi="Times New Roman" w:eastAsia="宋体" w:cs="Times New Roman"/>
      <w:color w:val="0000FF"/>
      <w:u w:val="single"/>
    </w:rPr>
  </w:style>
  <w:style w:type="character" w:customStyle="1" w:styleId="198">
    <w:name w:val="页脚 字符"/>
    <w:link w:val="190"/>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5553</Words>
  <Characters>5606</Characters>
  <TotalTime>0</TotalTime>
  <ScaleCrop>false</ScaleCrop>
  <LinksUpToDate>false</LinksUpToDate>
  <CharactersWithSpaces>5825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2024-11-14T02:33:00Z</dcterms:created>
  <dc:creator>微软中国</dc:creator>
  <cp:lastModifiedBy>歪歪逻辑</cp:lastModifiedBy>
  <dcterms:modified xsi:type="dcterms:W3CDTF">2025-07-09T03:37:23Z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A039F60A543248C993B405193A699486_13</vt:lpwstr>
  </property>
</Properties>
</file>