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    </w:t>
      </w:r>
    </w:p>
    <w:tbl>
      <w:tblPr>
        <w:tblStyle w:val="6"/>
        <w:tblW w:w="1424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6780"/>
        <w:gridCol w:w="870"/>
        <w:gridCol w:w="810"/>
        <w:gridCol w:w="855"/>
        <w:gridCol w:w="1077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 品</w:t>
            </w:r>
          </w:p>
          <w:p>
            <w:pPr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auto"/>
                <w:sz w:val="28"/>
                <w:szCs w:val="28"/>
              </w:rPr>
              <w:t>名 称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规格型号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    注</w:t>
            </w:r>
            <w:r>
              <w:rPr>
                <w:rFonts w:hint="eastAsia"/>
                <w:color w:val="auto"/>
                <w:sz w:val="28"/>
                <w:szCs w:val="28"/>
              </w:rPr>
              <w:t>(特殊需求请注明)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骨盆测量示教模型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1、模型为成人骨盆，真实尺寸大小，解剖结构紧缺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2、可显示骨盆腔的三个品面：骨盆入口品面、中骨盆面、骨盆出口品面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3、包括髋骨、骶骨、骶岬、尾骨、坐骨棘、骶髂关节、髂耻隆突、趾骨联合及地4、5腰椎等结构组成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"C:\\Users\\Administrator\\AppData\\Roaming\\Tencent\\Users\\593180688\\QQ\\WinTemp\\RichOle\\1]36EGP0@_Y3@}6741IFD8N.png" \* MERGEFORMATINET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94105" cy="696595"/>
                  <wp:effectExtent l="0" t="0" r="10795" b="825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6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新生儿模型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模型特点：模型由进口PVC材料经模具浇模而成。具有形象逼真、操作真实、结构合理和经久耐用等特点。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可作为婴儿洗澡，更换衣物和尿片、眼、耳护理以及指导哺乳训练和示教的工具。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模型尺寸：足月新生儿自然大小，可通过正常女性骨盆.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要求重量可以定制，颈部柔软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6（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2.5kg2个，3kg2个，4kg2个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11275" cy="635635"/>
                  <wp:effectExtent l="0" t="0" r="3175" b="12065"/>
                  <wp:docPr id="3" name="图片 3" descr="新生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新生儿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高级孕妇检查模型（腹部检查）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1.可进行四步触诊、骨盆外部测量、乳房护理。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2.高仿真感、外型和真人尺寸基本一致，并通过外部气囊可仿制不同月份的孕妇。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"C:\\Users\\Administrator\\AppData\\Roaming\\Tencent\\Users\\593180688\\QQ\\WinTemp\\RichOle\\}SXD@L8DUECSNWSUA0EU%IB.png" \* MERGEFORMATINET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102360" cy="1149985"/>
                  <wp:effectExtent l="0" t="0" r="2540" b="1206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阴道检查、肛查及四部触诊模型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2" w:hangingChars="200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采用优质材料制成，外观形象，材质柔软有弹性，手感逼真</w:t>
            </w:r>
          </w:p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可充气调整腹部隆起，可进行四步触诊法训练与考核</w:t>
            </w:r>
          </w:p>
          <w:p>
            <w:pPr>
              <w:spacing w:line="360" w:lineRule="auto"/>
              <w:ind w:left="420" w:hanging="422" w:hangingChars="200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3、可进行阴道检查与肛查以确定胎位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4、骨盆测量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"C:\\Users\\Administrator\\AppData\\Roaming\\Tencent\\Users\\593180688\\QQ\\WinTemp\\RichOle\\4[3_XPVJ`AOE2]232L4}4@R.png" \* MERGEFORMATINET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084580" cy="909320"/>
                  <wp:effectExtent l="0" t="0" r="1270" b="508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90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女性骨盆及盆底肌模型可拆装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材料: 进口PVC，彩绘</w:t>
            </w:r>
          </w:p>
          <w:p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>产品尺寸: 27*17*23 cm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>产品重量: 1.3 kg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1、</w:t>
            </w:r>
            <w:r>
              <w:rPr>
                <w:b/>
                <w:bCs/>
                <w:color w:val="auto"/>
                <w:sz w:val="21"/>
                <w:szCs w:val="21"/>
              </w:rPr>
              <w:t>由骨盆矢状切面和盆腔器官矢状切面等4个部件组成，并显示女性骨盆、生殖器官和盆腔脏器以及血管神经等结构，共有71个部位指示标志。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00455" cy="842010"/>
                  <wp:effectExtent l="0" t="0" r="4445" b="15240"/>
                  <wp:docPr id="22" name="图片 7" descr="骨盆带肌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 descr="骨盆带肌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产前宫颈变化与产道关系模型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（初产妇、经产妇各一）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39" w:lineRule="atLeast"/>
              <w:jc w:val="both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模型由六种不同宫颈变化与产道关系的模块组成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为宫颈检查的宫颈口扩张大小、宫颈管变化程度以及胎头与坐骨棘平面位置关系。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能体现出产程中各部位变化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"C:\\Users\\Administrator\\AppData\\Roaming\\Tencent\\Users\\593180688\\QQ\\WinTemp\\RichOle\\`[G7CP10KBJU@_7UQLTDS2Q.png" \* MERGEFORMATINET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113155" cy="687705"/>
                  <wp:effectExtent l="0" t="0" r="10795" b="17145"/>
                  <wp:docPr id="14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  <w:t>婴儿头皮静脉穿刺训练模型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39" w:lineRule="atLeast"/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仿真婴儿侧面头部，并有婴儿右侧面头皮主要静脉血管系统，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包括颞浅静脉和额上静脉位置等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2、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可进行头部静脉注射、输液（血）、抽血的穿刺练习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，并有回血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静脉血管和皮肤的同一穿刺部位可以经受几百次反复穿刺不渗漏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330835</wp:posOffset>
                  </wp:positionV>
                  <wp:extent cx="1209040" cy="457835"/>
                  <wp:effectExtent l="0" t="0" r="10160" b="18415"/>
                  <wp:wrapSquare wrapText="bothSides"/>
                  <wp:docPr id="4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洗澡、抚触用宝宝模型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1.由进口塑胶制成，皮肤仿真且完全隔水。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2.解剖位置全：前后囟门、冠状缝、矢状缝。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3.口鼻均有开放的插入口，可进行胃管置入术，模拟鼻饲、洗胃、胃肠减压操作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4.肛门开放可进行肛温测量以及灌肠操作练习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5.可模拟脐部护理。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6.男婴阴囊内有逼真的睾丸。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7.用于各种手法练习：哺乳、洗澡及更换衣服、灌肠、脐部护理；尺寸52厘米左右、重3公斤左右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1210945</wp:posOffset>
                  </wp:positionV>
                  <wp:extent cx="1443990" cy="868680"/>
                  <wp:effectExtent l="0" t="0" r="3810" b="7620"/>
                  <wp:wrapSquare wrapText="bothSides"/>
                  <wp:docPr id="4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布艺骨盆人体娃娃模型</w:t>
            </w:r>
          </w:p>
        </w:tc>
        <w:tc>
          <w:tcPr>
            <w:tcW w:w="6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可以示范初生儿特点，大小与形态符合正常足月儿的情况，有真实感。上下肢能活动，在临床教学中可提供学生作各种操作，如初生儿处理，包括初生儿沐浴、穿衣服、换纸尿裤等，腹部有脐带。</w:t>
            </w:r>
          </w:p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3.采用软性塑料制，可以洗涤。尺寸：身长：约50cm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29945" cy="749300"/>
                  <wp:effectExtent l="0" t="0" r="8255" b="12700"/>
                  <wp:docPr id="13" name="图片 16" descr="布艺骨盆 人体娃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6" descr="布艺骨盆 人体娃娃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高级心肺复苏训练及考核系统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本模型为成年男性整体人，解剖标志明显，瞳孔对光反射存在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颈动脉搏动与有效按压关联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心肺复苏术：执行标准《2015美国心脏协会心肺复苏与心血管急救指南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模拟人和计算机之间有两种通信方式可以选择：USB通信；WIFI无线通信</w:t>
            </w:r>
          </w:p>
          <w:p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软件心肺复苏急救流程，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软件具有AHA成人标准一键设置功能，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全程电子监测多项指标：软件在Windows、IOS、安卓等多平台均可使用，客户使用手机、平板、电脑等设备均可控制模型操作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，可随时升级最新系统，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软件可自由切换为网络版，只需购买硬件设备，一台电脑即可同时操控多台模型进行培训考核</w:t>
            </w:r>
          </w:p>
          <w:p>
            <w:pPr>
              <w:jc w:val="both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参考品牌：弘联、挪度、北京医模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高级成人气管切开护理模型(全身)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完全仿造真人体表标志明显，解剖位置精准。四肢关节可左右自由弯曲、旋转，上下活动。具有42种心音、24种呼吸音、10个听诊区涵盖了临床上常见的多种正常心肺音及病理性心肺音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模型的前胸、背部、腋中线等设有多个心音和肺音的听诊点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心肺听诊配有遥控器，通过遥控器可任意选择多种不同的心音和不同的肺音，进行听诊练习和诊断考核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胸腹腔解剖重要器官结构示教：观察到支气管、肺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小肠、大肠、结肠等腹胸腔解剖结构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有明显鼻中隔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可进行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整体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各项基础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护理、眼耳清洗滴药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口鼻气管插管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支持听诊检测插管位置，牙齿受压报警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气管切开护理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、有模拟痰液；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胸腔穿刺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腰椎穿刺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肝脏穿刺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造瘘引流术:腹部处有空肠造瘘和结肠造瘘，可进行造瘘口护理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听诊音量调节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可与创伤模块更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换</w:t>
            </w:r>
          </w:p>
          <w:p>
            <w:pPr>
              <w:jc w:val="both"/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参考品牌：弘联、挪度、北京医模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566420</wp:posOffset>
                  </wp:positionV>
                  <wp:extent cx="1629410" cy="687070"/>
                  <wp:effectExtent l="0" t="0" r="17780" b="8890"/>
                  <wp:wrapSquare wrapText="bothSides"/>
                  <wp:docPr id="45" name="图片 45" descr="微信图片_2018092814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微信图片_201809281413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94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多功能注射穿刺手臂模型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手臂上分布的多条主要静脉血管系统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进行静脉的注射、输液（血）、抽血等穿刺训练功能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正确穿刺有回血产生。可进行三角肌部位的肌肉注射。上肢可旋转180度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，血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</w:rPr>
              <w:t>管和皮肤都可更换，简单方便，经济实用。整体产品具有操作手感真实、逼真，外观肤色形态美观、经久耐用、消毒清洗不变形、拆装方便等特点，其材料达到国外同等水平。</w:t>
            </w:r>
          </w:p>
          <w:p>
            <w:pPr>
              <w:jc w:val="both"/>
              <w:rPr>
                <w:rFonts w:hint="eastAsia" w:cs="宋体" w:asciiTheme="majorEastAsia" w:hAnsiTheme="majorEastAsia" w:eastAsiaTheme="maj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参考品牌：弘联、挪度、北京医模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52705</wp:posOffset>
                  </wp:positionV>
                  <wp:extent cx="1129030" cy="1362075"/>
                  <wp:effectExtent l="0" t="0" r="13970" b="9525"/>
                  <wp:wrapTight wrapText="bothSides">
                    <wp:wrapPolygon>
                      <wp:start x="14943" y="604"/>
                      <wp:lineTo x="0" y="1813"/>
                      <wp:lineTo x="0" y="4834"/>
                      <wp:lineTo x="1822" y="5438"/>
                      <wp:lineTo x="0" y="6948"/>
                      <wp:lineTo x="0" y="21449"/>
                      <wp:lineTo x="21138" y="21449"/>
                      <wp:lineTo x="21138" y="3021"/>
                      <wp:lineTo x="20045" y="1813"/>
                      <wp:lineTo x="17129" y="604"/>
                      <wp:lineTo x="14943" y="604"/>
                    </wp:wrapPolygon>
                  </wp:wrapTight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女性骨盆模型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自然大；进口PVC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男性骨盆模型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自然大；进口PVC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心肺复苏医学模型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产品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结合201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国际心肺复苏标准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产品功能全面升级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，强化胸外按压的重要性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使用新一代材料，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更加符合现实临床CPR操作要求。</w:t>
            </w:r>
          </w:p>
          <w:p>
            <w:pPr>
              <w:jc w:val="both"/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执行标准：美国心脏学会(AHA)201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5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国际心肺复苏(CPR)＆心血管急救(ECC)指南标准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解剖特征明显，手感真实，模拟生命体征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 三种操作方式：可进行CPR训练、模拟考核和实战考核。 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显示屏实时显示模拟人操作数据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语音提示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、CPR参数设置：在电脑上运行管理软件进行设置。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具有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打印机功能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RF遥控器功能： 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包含以下三大板块功能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急救事件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操作按键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模拟人控制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材料特点：  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面皮肤、颈皮肤、胸皮肤、头发采用进口热塑弹性体混合胶材料，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内部选用新一代耐用材料，牢固耐用。</w:t>
            </w:r>
            <w:r>
              <w:rPr>
                <w:rFonts w:asciiTheme="majorEastAsia" w:hAnsiTheme="majorEastAsia" w:eastAsiaTheme="majorEastAsia"/>
                <w:b/>
                <w:bCs w:val="0"/>
                <w:color w:val="auto"/>
                <w:sz w:val="21"/>
                <w:szCs w:val="21"/>
              </w:rPr>
              <w:t>消毒清洗不变形，拆装更换方便，其材料达到国外同等水平。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参考品牌：弘联、挪度、北京医模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骨髓穿刺训练模型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模型人平卧位；解剖标志具备：胸骨上切迹、胸骨柄上缘、髂前上棘；可做：髂前上棘穿刺、胸骨柄穿刺，刺透模拟骨髓腔有明显落空感，并可抽取骨髓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137160</wp:posOffset>
                  </wp:positionV>
                  <wp:extent cx="1101725" cy="539115"/>
                  <wp:effectExtent l="0" t="0" r="3175" b="13335"/>
                  <wp:wrapTight wrapText="bothSides">
                    <wp:wrapPolygon>
                      <wp:start x="0" y="0"/>
                      <wp:lineTo x="0" y="20608"/>
                      <wp:lineTo x="21289" y="20608"/>
                      <wp:lineTo x="21289" y="0"/>
                      <wp:lineTo x="0" y="0"/>
                    </wp:wrapPolygon>
                  </wp:wrapTight>
                  <wp:docPr id="4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胸腔腰椎穿刺模型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一、 模型人：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1、男性躯干结构，模拟人反向坐于靠背椅上，可在坐位或侧卧位上进行操作训练。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2.模型具有胸、腹部和背部的局部解剖结构特征，标志清晰,可以触及腋窝、第7颈椎、胸椎、肩胛骨、肋骨、肋间隙、腰椎。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3、可进行胸腔穿刺和腰椎穿刺。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4、穿刺操作前有正确操作的语音讲解，操作正确后有相应的内容物流出，且有提示音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二、遥控器:</w:t>
            </w:r>
          </w:p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共有胸穿键、腰穿键、模式键、声音键4个按键.其中，胸穿、腰穿键可以按语音提示操作；模式键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可交替选择考试模式与训练模式。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三、胸腔穿刺：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1、多个穿刺部位：肩胛下线第7～9肋间和腋中线第5～6肋间穿刺。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2、当针头穿过壁层胸膜时，针头抵触感消失，连接注射器，抽出胸腔积液。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3、均有语音提示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四、腰椎穿刺：</w:t>
            </w:r>
          </w:p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1、逼真的模拟腰部解剖结构，皮肤、皮下组织等手感真实，有落空感，有脑脊液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2、可两个人对腰椎穿刺的操作。</w:t>
            </w:r>
          </w:p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5、有语音提示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128905</wp:posOffset>
                  </wp:positionV>
                  <wp:extent cx="948055" cy="1235075"/>
                  <wp:effectExtent l="0" t="0" r="4445" b="3175"/>
                  <wp:wrapTight wrapText="bothSides">
                    <wp:wrapPolygon>
                      <wp:start x="0" y="0"/>
                      <wp:lineTo x="0" y="21322"/>
                      <wp:lineTo x="21267" y="21322"/>
                      <wp:lineTo x="21267" y="0"/>
                      <wp:lineTo x="0" y="0"/>
                    </wp:wrapPolygon>
                  </wp:wrapTight>
                  <wp:docPr id="19" name="Picture 2" descr="68e1bed972c0ec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68e1bed972c0ec7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腹腔穿刺模型</w:t>
            </w:r>
          </w:p>
        </w:tc>
        <w:tc>
          <w:tcPr>
            <w:tcW w:w="678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模型采用优质进口材料制作而成，质地柔软，触感真实，解剖位置准确：、操作台移动方便，固定简单、稳当，方便改变模拟病人的体位，如平卧、半坐卧位、坐位、侧卧位等都可轻松实现。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4、模型尺寸自然大，模型由进口PVC塑胶材料、可进行腹部移动性浊音叩诊、腹部穿刺操作，穿刺成功时有明显落空感，可抽出模拟腹腔积水。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6、可进行无菌操作流程练习</w:t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7、穿刺点处皮肤可进行百余次穿刺，易更换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231900" cy="823595"/>
                  <wp:effectExtent l="0" t="0" r="6350" b="14605"/>
                  <wp:docPr id="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4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资金合计：</w:t>
            </w:r>
          </w:p>
        </w:tc>
        <w:tc>
          <w:tcPr>
            <w:tcW w:w="12652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77A2"/>
    <w:rsid w:val="02787E8E"/>
    <w:rsid w:val="03EA31A6"/>
    <w:rsid w:val="05A6317B"/>
    <w:rsid w:val="08E72D33"/>
    <w:rsid w:val="08ED529F"/>
    <w:rsid w:val="116B4D2C"/>
    <w:rsid w:val="179147D3"/>
    <w:rsid w:val="180B708F"/>
    <w:rsid w:val="18411757"/>
    <w:rsid w:val="18951C42"/>
    <w:rsid w:val="1D9D2CB8"/>
    <w:rsid w:val="1E97534D"/>
    <w:rsid w:val="1EE8408C"/>
    <w:rsid w:val="1FA75C6F"/>
    <w:rsid w:val="233C2697"/>
    <w:rsid w:val="23CF6918"/>
    <w:rsid w:val="29F14EF2"/>
    <w:rsid w:val="2BA2248A"/>
    <w:rsid w:val="2BCA3F89"/>
    <w:rsid w:val="2D9F73E9"/>
    <w:rsid w:val="314468B8"/>
    <w:rsid w:val="32A93DEC"/>
    <w:rsid w:val="32AF345D"/>
    <w:rsid w:val="33054802"/>
    <w:rsid w:val="331F6007"/>
    <w:rsid w:val="36EC2CA4"/>
    <w:rsid w:val="37777F4D"/>
    <w:rsid w:val="3E5D43E6"/>
    <w:rsid w:val="408F4EAB"/>
    <w:rsid w:val="40D97E5B"/>
    <w:rsid w:val="41823E7E"/>
    <w:rsid w:val="425E2622"/>
    <w:rsid w:val="42600808"/>
    <w:rsid w:val="429E6FF4"/>
    <w:rsid w:val="43023AD5"/>
    <w:rsid w:val="44CD2A70"/>
    <w:rsid w:val="458E6419"/>
    <w:rsid w:val="460336D8"/>
    <w:rsid w:val="46243B57"/>
    <w:rsid w:val="48854C6A"/>
    <w:rsid w:val="49D4336E"/>
    <w:rsid w:val="4A266849"/>
    <w:rsid w:val="4EA85D76"/>
    <w:rsid w:val="4F404D52"/>
    <w:rsid w:val="53787CFB"/>
    <w:rsid w:val="53EA308D"/>
    <w:rsid w:val="572B5DCC"/>
    <w:rsid w:val="5D335F10"/>
    <w:rsid w:val="60DB0C76"/>
    <w:rsid w:val="6260451F"/>
    <w:rsid w:val="663B2700"/>
    <w:rsid w:val="66F14683"/>
    <w:rsid w:val="68550FE0"/>
    <w:rsid w:val="698B74A9"/>
    <w:rsid w:val="69CF642C"/>
    <w:rsid w:val="71634334"/>
    <w:rsid w:val="740E1511"/>
    <w:rsid w:val="74752D7D"/>
    <w:rsid w:val="74EA50C3"/>
    <w:rsid w:val="74F77044"/>
    <w:rsid w:val="756A78E3"/>
    <w:rsid w:val="7ADC60C3"/>
    <w:rsid w:val="7B6E148A"/>
    <w:rsid w:val="7F453C55"/>
    <w:rsid w:val="7F61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http://cp.honglian8.com/../Picture/c63aad4cea6289bc/a2de8e2d37e8b0fc.gif" TargetMode="Externa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刘宇坤</cp:lastModifiedBy>
  <dcterms:modified xsi:type="dcterms:W3CDTF">2019-05-09T04:02:39Z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